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9CF90D" w14:textId="77777777" w:rsidR="00E811A2" w:rsidRPr="00047352" w:rsidRDefault="002C1F4E">
      <w:pPr>
        <w:jc w:val="center"/>
        <w:rPr>
          <w:rFonts w:ascii="ＭＳ ゴシック" w:eastAsia="ＭＳ ゴシック" w:hAnsi="ＭＳ ゴシック"/>
          <w:sz w:val="32"/>
          <w:szCs w:val="32"/>
        </w:rPr>
      </w:pPr>
      <w:r>
        <w:rPr>
          <w:rFonts w:ascii="ＭＳ ゴシック" w:eastAsia="ＭＳ ゴシック" w:hint="eastAsia"/>
          <w:sz w:val="32"/>
          <w:szCs w:val="32"/>
        </w:rPr>
        <w:t>管路改築</w:t>
      </w:r>
      <w:r w:rsidR="00E811A2" w:rsidRPr="00047352">
        <w:rPr>
          <w:rFonts w:ascii="ＭＳ ゴシック" w:eastAsia="ＭＳ ゴシック" w:hint="eastAsia"/>
          <w:sz w:val="32"/>
          <w:szCs w:val="32"/>
        </w:rPr>
        <w:t>工事</w:t>
      </w:r>
      <w:r w:rsidR="006A0FE3">
        <w:rPr>
          <w:rFonts w:ascii="ＭＳ ゴシック" w:eastAsia="ＭＳ ゴシック" w:hint="eastAsia"/>
          <w:sz w:val="32"/>
          <w:szCs w:val="32"/>
        </w:rPr>
        <w:t>(自立管</w:t>
      </w:r>
      <w:r w:rsidR="006A0FE3">
        <w:rPr>
          <w:rFonts w:ascii="ＭＳ ゴシック" w:eastAsia="ＭＳ ゴシック"/>
          <w:sz w:val="32"/>
          <w:szCs w:val="32"/>
        </w:rPr>
        <w:t>)</w:t>
      </w:r>
      <w:r w:rsidR="00E811A2" w:rsidRPr="00047352">
        <w:rPr>
          <w:rFonts w:ascii="ＭＳ ゴシック" w:eastAsia="ＭＳ ゴシック" w:hint="eastAsia"/>
          <w:sz w:val="32"/>
          <w:szCs w:val="32"/>
        </w:rPr>
        <w:t xml:space="preserve">　特記仕様書</w:t>
      </w:r>
    </w:p>
    <w:p w14:paraId="0C0B569F" w14:textId="77777777" w:rsidR="00E811A2" w:rsidRDefault="00E811A2">
      <w:pPr>
        <w:rPr>
          <w:spacing w:val="2"/>
          <w:sz w:val="21"/>
        </w:rPr>
      </w:pPr>
    </w:p>
    <w:p w14:paraId="2A06BEA5" w14:textId="77777777" w:rsidR="00E811A2" w:rsidRDefault="00E811A2">
      <w:pPr>
        <w:rPr>
          <w:rFonts w:ascii="ＭＳ ゴシック" w:eastAsia="ＭＳ ゴシック"/>
          <w:spacing w:val="2"/>
          <w:sz w:val="21"/>
        </w:rPr>
      </w:pPr>
      <w:r>
        <w:rPr>
          <w:rFonts w:ascii="ＭＳ ゴシック" w:eastAsia="ＭＳ ゴシック" w:hint="eastAsia"/>
          <w:spacing w:val="2"/>
          <w:sz w:val="21"/>
        </w:rPr>
        <w:t>1.　特記仕様書の適用範囲</w:t>
      </w:r>
    </w:p>
    <w:p w14:paraId="5FCC9236" w14:textId="77777777" w:rsidR="00E811A2" w:rsidRDefault="00E811A2">
      <w:pPr>
        <w:ind w:leftChars="95" w:left="209" w:firstLineChars="100" w:firstLine="210"/>
        <w:rPr>
          <w:sz w:val="21"/>
        </w:rPr>
        <w:sectPr w:rsidR="00E811A2">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1134" w:right="1701" w:bottom="1418" w:left="1701" w:header="567" w:footer="567" w:gutter="0"/>
          <w:pgNumType w:start="0"/>
          <w:cols w:space="425"/>
          <w:titlePg/>
          <w:docGrid w:type="lines" w:linePitch="324"/>
        </w:sectPr>
      </w:pPr>
      <w:r>
        <w:rPr>
          <w:rFonts w:hint="eastAsia"/>
          <w:sz w:val="21"/>
        </w:rPr>
        <w:t>この仕様書は、管渠更生工事に関する特記仕様書とし、この仕様書に記載されていない事項は、</w:t>
      </w:r>
      <w:r w:rsidR="00412786">
        <w:rPr>
          <w:rFonts w:hint="eastAsia"/>
          <w:sz w:val="21"/>
        </w:rPr>
        <w:t>「</w:t>
      </w:r>
      <w:r w:rsidR="00412786" w:rsidRPr="00216F86">
        <w:rPr>
          <w:rFonts w:hint="eastAsia"/>
          <w:sz w:val="21"/>
        </w:rPr>
        <w:t>管きょ更生工法における設計・施工管理ガイドライン</w:t>
      </w:r>
      <w:r w:rsidR="00EE3D08">
        <w:rPr>
          <w:rFonts w:hint="eastAsia"/>
          <w:sz w:val="21"/>
        </w:rPr>
        <w:t>2017年版</w:t>
      </w:r>
      <w:r w:rsidR="00412786">
        <w:rPr>
          <w:rFonts w:hint="eastAsia"/>
          <w:sz w:val="21"/>
        </w:rPr>
        <w:t>、日本下水道協会</w:t>
      </w:r>
      <w:r w:rsidR="00EE3D08">
        <w:rPr>
          <w:rFonts w:hint="eastAsia"/>
          <w:sz w:val="21"/>
        </w:rPr>
        <w:t>、日本下水道管路管理業協会</w:t>
      </w:r>
      <w:r w:rsidR="00412786">
        <w:rPr>
          <w:rFonts w:hint="eastAsia"/>
          <w:sz w:val="21"/>
        </w:rPr>
        <w:t>」による</w:t>
      </w:r>
      <w:r w:rsidR="00A86DCB">
        <w:rPr>
          <w:rFonts w:hint="eastAsia"/>
          <w:sz w:val="21"/>
        </w:rPr>
        <w:t>ほか、監督員と協議の上、決定する</w:t>
      </w:r>
      <w:r w:rsidR="00412786">
        <w:rPr>
          <w:rFonts w:hint="eastAsia"/>
          <w:sz w:val="21"/>
        </w:rPr>
        <w:t>ものとする。</w:t>
      </w:r>
    </w:p>
    <w:p w14:paraId="46120C64" w14:textId="77777777" w:rsidR="00E811A2" w:rsidRDefault="00E811A2">
      <w:pPr>
        <w:rPr>
          <w:rFonts w:ascii="ＭＳ ゴシック" w:eastAsia="ＭＳ ゴシック"/>
          <w:sz w:val="21"/>
        </w:rPr>
      </w:pPr>
    </w:p>
    <w:p w14:paraId="3D722BF3" w14:textId="77777777" w:rsidR="00E811A2" w:rsidRDefault="00E811A2">
      <w:pPr>
        <w:rPr>
          <w:rFonts w:ascii="ＭＳ ゴシック" w:eastAsia="ＭＳ ゴシック" w:hAnsi="ＭＳ ゴシック"/>
          <w:sz w:val="21"/>
        </w:rPr>
      </w:pPr>
      <w:r>
        <w:rPr>
          <w:rFonts w:ascii="ＭＳ ゴシック" w:eastAsia="ＭＳ ゴシック" w:hAnsi="ＭＳ ゴシック" w:hint="eastAsia"/>
          <w:sz w:val="21"/>
        </w:rPr>
        <w:t xml:space="preserve">2.　</w:t>
      </w:r>
      <w:r>
        <w:rPr>
          <w:rFonts w:ascii="ＭＳ ゴシック" w:eastAsia="ＭＳ ゴシック" w:hAnsi="ＭＳ ゴシック" w:hint="eastAsia"/>
          <w:color w:val="000000"/>
          <w:sz w:val="21"/>
        </w:rPr>
        <w:t xml:space="preserve"> 更生管の仕様</w:t>
      </w:r>
    </w:p>
    <w:p w14:paraId="600CD806" w14:textId="77777777" w:rsidR="00E811A2" w:rsidRPr="00B86CC5" w:rsidRDefault="00154213">
      <w:pPr>
        <w:rPr>
          <w:sz w:val="21"/>
          <w:szCs w:val="21"/>
        </w:rPr>
      </w:pPr>
      <w:r>
        <w:rPr>
          <w:rFonts w:ascii="ＭＳ ゴシック" w:eastAsia="ＭＳ ゴシック" w:hAnsi="ＭＳ ゴシック" w:hint="eastAsia"/>
          <w:sz w:val="21"/>
          <w:szCs w:val="21"/>
        </w:rPr>
        <w:t>2</w:t>
      </w:r>
      <w:r w:rsidR="00E811A2" w:rsidRPr="00B86CC5">
        <w:rPr>
          <w:rFonts w:ascii="ＭＳ ゴシック" w:eastAsia="ＭＳ ゴシック" w:hAnsi="ＭＳ ゴシック" w:hint="eastAsia"/>
          <w:sz w:val="21"/>
          <w:szCs w:val="21"/>
        </w:rPr>
        <w:t>.1　更生管厚</w:t>
      </w:r>
    </w:p>
    <w:p w14:paraId="67C85AB5" w14:textId="77777777" w:rsidR="00E811A2" w:rsidRPr="00B86CC5" w:rsidRDefault="00E811A2">
      <w:pPr>
        <w:rPr>
          <w:sz w:val="21"/>
          <w:szCs w:val="21"/>
        </w:rPr>
      </w:pPr>
      <w:r w:rsidRPr="00B86CC5">
        <w:rPr>
          <w:rFonts w:hint="eastAsia"/>
          <w:sz w:val="21"/>
          <w:szCs w:val="21"/>
        </w:rPr>
        <w:t xml:space="preserve">　</w:t>
      </w:r>
      <w:r w:rsidR="00790286">
        <w:rPr>
          <w:rFonts w:hint="eastAsia"/>
          <w:sz w:val="21"/>
          <w:szCs w:val="21"/>
        </w:rPr>
        <w:t>受注</w:t>
      </w:r>
      <w:r w:rsidRPr="00B86CC5">
        <w:rPr>
          <w:rFonts w:hint="eastAsia"/>
          <w:sz w:val="21"/>
          <w:szCs w:val="21"/>
        </w:rPr>
        <w:t>者は、工事の設計条件と次の条件に基づき更生管厚の計算を行い、その結果が確認できる資料を作成し監督員に提出しなければならない。</w:t>
      </w:r>
    </w:p>
    <w:p w14:paraId="0C4CCD9D" w14:textId="77777777" w:rsidR="00E811A2" w:rsidRDefault="00E811A2"/>
    <w:p w14:paraId="7978BD2C" w14:textId="77777777" w:rsidR="00E811A2" w:rsidRPr="00910679" w:rsidRDefault="00E811A2" w:rsidP="00910679">
      <w:pPr>
        <w:ind w:firstLineChars="100" w:firstLine="210"/>
        <w:rPr>
          <w:sz w:val="21"/>
          <w:szCs w:val="21"/>
        </w:rPr>
      </w:pPr>
      <w:r w:rsidRPr="00910679">
        <w:rPr>
          <w:rFonts w:hint="eastAsia"/>
          <w:sz w:val="21"/>
          <w:szCs w:val="21"/>
        </w:rPr>
        <w:t>(1)</w:t>
      </w:r>
      <w:r w:rsidR="00B23AE1">
        <w:rPr>
          <w:rFonts w:hint="eastAsia"/>
          <w:sz w:val="21"/>
          <w:szCs w:val="21"/>
        </w:rPr>
        <w:t>更生管きょ</w:t>
      </w:r>
      <w:r w:rsidRPr="00910679">
        <w:rPr>
          <w:rFonts w:hint="eastAsia"/>
          <w:sz w:val="21"/>
          <w:szCs w:val="21"/>
        </w:rPr>
        <w:t>の評価</w:t>
      </w:r>
    </w:p>
    <w:p w14:paraId="27FE4995" w14:textId="77777777" w:rsidR="00E811A2" w:rsidRDefault="00445A7D" w:rsidP="00156A85">
      <w:pPr>
        <w:ind w:leftChars="100" w:left="220"/>
        <w:rPr>
          <w:sz w:val="21"/>
        </w:rPr>
      </w:pPr>
      <w:r>
        <w:rPr>
          <w:rFonts w:hint="eastAsia"/>
        </w:rPr>
        <w:t xml:space="preserve">　</w:t>
      </w:r>
      <w:r w:rsidR="00E811A2">
        <w:rPr>
          <w:rFonts w:hint="eastAsia"/>
          <w:sz w:val="21"/>
        </w:rPr>
        <w:t>自立管については、既設管きょの耐荷能力は見込まないこととする。</w:t>
      </w:r>
      <w:r w:rsidR="00156A85">
        <w:rPr>
          <w:rFonts w:hint="eastAsia"/>
          <w:sz w:val="21"/>
        </w:rPr>
        <w:t>複合管については、既設管きょの残存強度を勘案し、既設管と更生材は構造的に一体として、新管と同等以上の耐荷性能及び耐久性等を有すること。</w:t>
      </w:r>
    </w:p>
    <w:p w14:paraId="615991B3" w14:textId="77777777" w:rsidR="00445A7D" w:rsidRDefault="00E811A2" w:rsidP="00445A7D">
      <w:pPr>
        <w:ind w:firstLineChars="100" w:firstLine="220"/>
      </w:pPr>
      <w:r>
        <w:rPr>
          <w:rFonts w:hint="eastAsia"/>
        </w:rPr>
        <w:t xml:space="preserve">　</w:t>
      </w:r>
    </w:p>
    <w:p w14:paraId="44375F30" w14:textId="77777777" w:rsidR="00445A7D" w:rsidRDefault="00445A7D" w:rsidP="00445A7D">
      <w:pPr>
        <w:ind w:firstLineChars="100" w:firstLine="220"/>
      </w:pPr>
      <w:r>
        <w:rPr>
          <w:rFonts w:hint="eastAsia"/>
        </w:rPr>
        <w:t>(2)</w:t>
      </w:r>
      <w:r>
        <w:rPr>
          <w:rFonts w:hint="eastAsia"/>
          <w:sz w:val="21"/>
        </w:rPr>
        <w:t>荷重</w:t>
      </w:r>
    </w:p>
    <w:p w14:paraId="1B4B8224" w14:textId="77777777" w:rsidR="00E811A2" w:rsidRDefault="00156A85" w:rsidP="00156A85">
      <w:pPr>
        <w:ind w:leftChars="200" w:left="440" w:firstLineChars="100" w:firstLine="210"/>
        <w:rPr>
          <w:sz w:val="21"/>
        </w:rPr>
      </w:pPr>
      <w:r>
        <w:rPr>
          <w:rFonts w:hint="eastAsia"/>
          <w:sz w:val="21"/>
        </w:rPr>
        <w:t>自立管については、</w:t>
      </w:r>
      <w:r w:rsidR="00E811A2">
        <w:rPr>
          <w:rFonts w:hint="eastAsia"/>
          <w:sz w:val="21"/>
        </w:rPr>
        <w:t>鉛直土圧(ヤンセン公式)と活荷重による鉛直荷重の総和とする。</w:t>
      </w:r>
    </w:p>
    <w:p w14:paraId="3ACC606B" w14:textId="77777777" w:rsidR="00366FFE" w:rsidRDefault="00366FFE" w:rsidP="00156A85">
      <w:pPr>
        <w:ind w:leftChars="200" w:left="440" w:firstLineChars="100" w:firstLine="210"/>
        <w:rPr>
          <w:sz w:val="21"/>
        </w:rPr>
      </w:pPr>
    </w:p>
    <w:tbl>
      <w:tblPr>
        <w:tblW w:w="6294" w:type="dxa"/>
        <w:tblInd w:w="1114" w:type="dxa"/>
        <w:tblCellMar>
          <w:left w:w="0" w:type="dxa"/>
          <w:right w:w="0" w:type="dxa"/>
        </w:tblCellMar>
        <w:tblLook w:val="0000" w:firstRow="0" w:lastRow="0" w:firstColumn="0" w:lastColumn="0" w:noHBand="0" w:noVBand="0"/>
      </w:tblPr>
      <w:tblGrid>
        <w:gridCol w:w="2098"/>
        <w:gridCol w:w="2098"/>
        <w:gridCol w:w="2098"/>
      </w:tblGrid>
      <w:tr w:rsidR="005522AD" w14:paraId="095679E5" w14:textId="77777777" w:rsidTr="005522AD">
        <w:trPr>
          <w:trHeight w:val="285"/>
        </w:trPr>
        <w:tc>
          <w:tcPr>
            <w:tcW w:w="2098" w:type="dxa"/>
            <w:tcBorders>
              <w:top w:val="single" w:sz="4" w:space="0" w:color="auto"/>
              <w:left w:val="single" w:sz="4" w:space="0" w:color="auto"/>
              <w:bottom w:val="nil"/>
              <w:right w:val="single" w:sz="4" w:space="0" w:color="auto"/>
            </w:tcBorders>
            <w:shd w:val="clear" w:color="auto" w:fill="CCFFFF"/>
            <w:vAlign w:val="center"/>
          </w:tcPr>
          <w:p w14:paraId="4D9BAB55" w14:textId="77777777" w:rsidR="005522AD" w:rsidRDefault="005522AD" w:rsidP="005522AD">
            <w:pPr>
              <w:jc w:val="center"/>
              <w:rPr>
                <w:rFonts w:ascii="ＭＳ ゴシック" w:eastAsia="ＭＳ ゴシック" w:hAnsi="ＭＳ ゴシック" w:cs="Arial Unicode MS"/>
                <w:sz w:val="20"/>
              </w:rPr>
            </w:pPr>
            <w:r>
              <w:rPr>
                <w:rFonts w:ascii="ＭＳ ゴシック" w:eastAsia="ＭＳ ゴシック" w:hAnsi="ＭＳ ゴシック" w:hint="eastAsia"/>
                <w:sz w:val="20"/>
              </w:rPr>
              <w:t>適用土質</w:t>
            </w:r>
          </w:p>
        </w:tc>
        <w:tc>
          <w:tcPr>
            <w:tcW w:w="2098" w:type="dxa"/>
            <w:tcBorders>
              <w:top w:val="single" w:sz="4" w:space="0" w:color="auto"/>
              <w:left w:val="single" w:sz="4" w:space="0" w:color="auto"/>
              <w:bottom w:val="nil"/>
              <w:right w:val="single" w:sz="4" w:space="0" w:color="auto"/>
            </w:tcBorders>
            <w:shd w:val="clear" w:color="auto" w:fill="CCFFFF"/>
            <w:noWrap/>
            <w:tcMar>
              <w:top w:w="15" w:type="dxa"/>
              <w:left w:w="15" w:type="dxa"/>
              <w:bottom w:w="0" w:type="dxa"/>
              <w:right w:w="15" w:type="dxa"/>
            </w:tcMar>
            <w:vAlign w:val="center"/>
          </w:tcPr>
          <w:p w14:paraId="6808BA23" w14:textId="77777777" w:rsidR="005522AD" w:rsidRDefault="005522AD" w:rsidP="005522AD">
            <w:pPr>
              <w:jc w:val="center"/>
              <w:rPr>
                <w:rFonts w:ascii="ＭＳ ゴシック" w:eastAsia="ＭＳ ゴシック" w:hAnsi="ＭＳ ゴシック" w:cs="Arial Unicode MS"/>
                <w:sz w:val="20"/>
              </w:rPr>
            </w:pPr>
            <w:r>
              <w:rPr>
                <w:rFonts w:ascii="ＭＳ ゴシック" w:eastAsia="ＭＳ ゴシック" w:hAnsi="ＭＳ ゴシック" w:hint="eastAsia"/>
                <w:sz w:val="20"/>
              </w:rPr>
              <w:t>管径</w:t>
            </w:r>
          </w:p>
        </w:tc>
        <w:tc>
          <w:tcPr>
            <w:tcW w:w="2098" w:type="dxa"/>
            <w:tcBorders>
              <w:top w:val="single" w:sz="4" w:space="0" w:color="auto"/>
              <w:left w:val="nil"/>
              <w:bottom w:val="nil"/>
              <w:right w:val="single" w:sz="4" w:space="0" w:color="auto"/>
            </w:tcBorders>
            <w:shd w:val="clear" w:color="auto" w:fill="CCFFFF"/>
            <w:noWrap/>
            <w:tcMar>
              <w:top w:w="15" w:type="dxa"/>
              <w:left w:w="15" w:type="dxa"/>
              <w:bottom w:w="0" w:type="dxa"/>
              <w:right w:w="15" w:type="dxa"/>
            </w:tcMar>
            <w:vAlign w:val="center"/>
          </w:tcPr>
          <w:p w14:paraId="31D9BDE3" w14:textId="77777777" w:rsidR="005522AD" w:rsidRDefault="005522AD" w:rsidP="005522AD">
            <w:pPr>
              <w:jc w:val="center"/>
              <w:rPr>
                <w:rFonts w:ascii="ＭＳ ゴシック" w:eastAsia="ＭＳ ゴシック" w:hAnsi="ＭＳ ゴシック" w:cs="Arial Unicode MS"/>
                <w:sz w:val="20"/>
              </w:rPr>
            </w:pPr>
            <w:r>
              <w:rPr>
                <w:rFonts w:ascii="ＭＳ ゴシック" w:eastAsia="ＭＳ ゴシック" w:hAnsi="ＭＳ ゴシック" w:cs="Arial Unicode MS" w:hint="eastAsia"/>
                <w:sz w:val="20"/>
              </w:rPr>
              <w:t>土の単位</w:t>
            </w:r>
          </w:p>
        </w:tc>
      </w:tr>
      <w:tr w:rsidR="005522AD" w14:paraId="4EB29054" w14:textId="77777777" w:rsidTr="002D551A">
        <w:trPr>
          <w:trHeight w:val="285"/>
        </w:trPr>
        <w:tc>
          <w:tcPr>
            <w:tcW w:w="2098" w:type="dxa"/>
            <w:tcBorders>
              <w:top w:val="nil"/>
              <w:left w:val="single" w:sz="4" w:space="0" w:color="auto"/>
              <w:bottom w:val="single" w:sz="4" w:space="0" w:color="auto"/>
              <w:right w:val="single" w:sz="4" w:space="0" w:color="auto"/>
            </w:tcBorders>
            <w:shd w:val="clear" w:color="auto" w:fill="CCFFFF"/>
            <w:vAlign w:val="center"/>
          </w:tcPr>
          <w:p w14:paraId="558F0428" w14:textId="77777777" w:rsidR="005522AD" w:rsidRDefault="005522AD" w:rsidP="005522AD">
            <w:pPr>
              <w:jc w:val="center"/>
              <w:rPr>
                <w:rFonts w:ascii="ＭＳ ゴシック" w:eastAsia="ＭＳ ゴシック" w:hAnsi="ＭＳ ゴシック" w:cs="Arial Unicode MS"/>
                <w:sz w:val="20"/>
              </w:rPr>
            </w:pPr>
          </w:p>
        </w:tc>
        <w:tc>
          <w:tcPr>
            <w:tcW w:w="2098" w:type="dxa"/>
            <w:tcBorders>
              <w:top w:val="nil"/>
              <w:left w:val="single" w:sz="4" w:space="0" w:color="auto"/>
              <w:bottom w:val="single" w:sz="4" w:space="0" w:color="auto"/>
              <w:right w:val="single" w:sz="4" w:space="0" w:color="auto"/>
            </w:tcBorders>
            <w:shd w:val="clear" w:color="auto" w:fill="CCFFFF"/>
            <w:noWrap/>
            <w:tcMar>
              <w:top w:w="15" w:type="dxa"/>
              <w:left w:w="15" w:type="dxa"/>
              <w:bottom w:w="0" w:type="dxa"/>
              <w:right w:w="15" w:type="dxa"/>
            </w:tcMar>
            <w:vAlign w:val="center"/>
          </w:tcPr>
          <w:p w14:paraId="6A9F54AF" w14:textId="77777777" w:rsidR="005522AD" w:rsidRDefault="005522AD" w:rsidP="005522AD">
            <w:pPr>
              <w:jc w:val="center"/>
              <w:rPr>
                <w:rFonts w:ascii="ＭＳ ゴシック" w:eastAsia="ＭＳ ゴシック" w:hAnsi="ＭＳ ゴシック" w:cs="Arial Unicode MS"/>
                <w:sz w:val="20"/>
              </w:rPr>
            </w:pPr>
            <w:r>
              <w:rPr>
                <w:rFonts w:ascii="ＭＳ ゴシック" w:eastAsia="ＭＳ ゴシック" w:hAnsi="ＭＳ ゴシック" w:hint="eastAsia"/>
                <w:sz w:val="20"/>
              </w:rPr>
              <w:t>㎜</w:t>
            </w:r>
          </w:p>
        </w:tc>
        <w:tc>
          <w:tcPr>
            <w:tcW w:w="2098" w:type="dxa"/>
            <w:tcBorders>
              <w:top w:val="nil"/>
              <w:left w:val="nil"/>
              <w:bottom w:val="single" w:sz="4" w:space="0" w:color="auto"/>
              <w:right w:val="single" w:sz="4" w:space="0" w:color="auto"/>
            </w:tcBorders>
            <w:shd w:val="clear" w:color="auto" w:fill="CCFFFF"/>
            <w:noWrap/>
            <w:tcMar>
              <w:top w:w="15" w:type="dxa"/>
              <w:left w:w="15" w:type="dxa"/>
              <w:bottom w:w="0" w:type="dxa"/>
              <w:right w:w="15" w:type="dxa"/>
            </w:tcMar>
            <w:vAlign w:val="center"/>
          </w:tcPr>
          <w:p w14:paraId="7D80BBD3" w14:textId="77777777" w:rsidR="005522AD" w:rsidRDefault="005522AD" w:rsidP="005522AD">
            <w:pPr>
              <w:jc w:val="center"/>
              <w:rPr>
                <w:rFonts w:ascii="ＭＳ ゴシック" w:eastAsia="ＭＳ ゴシック" w:hAnsi="ＭＳ ゴシック" w:cs="Arial Unicode MS"/>
                <w:sz w:val="20"/>
              </w:rPr>
            </w:pPr>
            <w:r>
              <w:rPr>
                <w:rFonts w:ascii="ＭＳ ゴシック" w:eastAsia="ＭＳ ゴシック" w:hAnsi="ＭＳ ゴシック" w:cs="Arial Unicode MS" w:hint="eastAsia"/>
                <w:sz w:val="20"/>
              </w:rPr>
              <w:t>体積重量</w:t>
            </w:r>
          </w:p>
        </w:tc>
      </w:tr>
      <w:tr w:rsidR="005522AD" w14:paraId="42C8FEAB" w14:textId="77777777" w:rsidTr="002D551A">
        <w:trPr>
          <w:trHeight w:val="300"/>
        </w:trPr>
        <w:tc>
          <w:tcPr>
            <w:tcW w:w="2098" w:type="dxa"/>
            <w:tcBorders>
              <w:top w:val="single" w:sz="4" w:space="0" w:color="auto"/>
              <w:left w:val="single" w:sz="4" w:space="0" w:color="auto"/>
              <w:bottom w:val="single" w:sz="4" w:space="0" w:color="auto"/>
              <w:right w:val="single" w:sz="4" w:space="0" w:color="auto"/>
            </w:tcBorders>
            <w:vAlign w:val="center"/>
          </w:tcPr>
          <w:p w14:paraId="3357B7F7" w14:textId="77777777" w:rsidR="005522AD" w:rsidRDefault="006A0FE3" w:rsidP="005522AD">
            <w:pPr>
              <w:jc w:val="center"/>
              <w:rPr>
                <w:rFonts w:hAnsi="ＭＳ Ｐ明朝"/>
                <w:sz w:val="20"/>
              </w:rPr>
            </w:pPr>
            <w:r>
              <w:rPr>
                <w:rFonts w:hAnsi="ＭＳ Ｐ明朝" w:hint="eastAsia"/>
                <w:sz w:val="20"/>
              </w:rPr>
              <w:t>No.9</w:t>
            </w:r>
          </w:p>
        </w:tc>
        <w:tc>
          <w:tcPr>
            <w:tcW w:w="209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7394337" w14:textId="2F57221C" w:rsidR="005522AD" w:rsidRDefault="0093333A" w:rsidP="005522AD">
            <w:pPr>
              <w:jc w:val="center"/>
              <w:rPr>
                <w:rFonts w:hAnsi="ＭＳ Ｐ明朝"/>
                <w:sz w:val="20"/>
              </w:rPr>
            </w:pPr>
            <w:r>
              <w:rPr>
                <w:rFonts w:hAnsi="ＭＳ Ｐ明朝" w:hint="eastAsia"/>
                <w:sz w:val="20"/>
              </w:rPr>
              <w:t>250</w:t>
            </w:r>
            <w:r w:rsidR="006A0FE3">
              <w:rPr>
                <w:rFonts w:hAnsi="ＭＳ Ｐ明朝" w:hint="eastAsia"/>
                <w:sz w:val="20"/>
              </w:rPr>
              <w:t>～</w:t>
            </w:r>
            <w:r>
              <w:rPr>
                <w:rFonts w:hAnsi="ＭＳ Ｐ明朝" w:hint="eastAsia"/>
                <w:sz w:val="20"/>
              </w:rPr>
              <w:t>600</w:t>
            </w:r>
          </w:p>
        </w:tc>
        <w:tc>
          <w:tcPr>
            <w:tcW w:w="209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AD46F91" w14:textId="77777777" w:rsidR="005522AD" w:rsidRDefault="004C756B" w:rsidP="005522AD">
            <w:pPr>
              <w:jc w:val="center"/>
              <w:rPr>
                <w:rFonts w:hAnsi="ＭＳ Ｐ明朝" w:cs="Arial Unicode MS"/>
                <w:sz w:val="20"/>
              </w:rPr>
            </w:pPr>
            <w:r>
              <w:rPr>
                <w:rFonts w:hAnsi="ＭＳ Ｐ明朝" w:cs="Arial Unicode MS" w:hint="eastAsia"/>
                <w:sz w:val="20"/>
              </w:rPr>
              <w:t>18.0</w:t>
            </w:r>
          </w:p>
        </w:tc>
      </w:tr>
    </w:tbl>
    <w:p w14:paraId="72FDA6DF" w14:textId="77777777" w:rsidR="0093333A" w:rsidRDefault="007253E2">
      <w:pPr>
        <w:rPr>
          <w:sz w:val="21"/>
        </w:rPr>
      </w:pPr>
      <w:r>
        <w:rPr>
          <w:rFonts w:hint="eastAsia"/>
          <w:sz w:val="21"/>
        </w:rPr>
        <w:t xml:space="preserve">　　</w:t>
      </w:r>
      <w:r w:rsidR="0093333A">
        <w:rPr>
          <w:rFonts w:hint="eastAsia"/>
          <w:sz w:val="21"/>
        </w:rPr>
        <w:t xml:space="preserve">車道幅員5.5ｍ以上の道路はT-25、車道幅員5.5ｍ未満の道路をT-14として計算を行　　　</w:t>
      </w:r>
    </w:p>
    <w:p w14:paraId="33DEBCAA" w14:textId="7B05E39D" w:rsidR="00EB171D" w:rsidRPr="007253E2" w:rsidRDefault="0093333A">
      <w:pPr>
        <w:rPr>
          <w:color w:val="FF0000"/>
          <w:sz w:val="21"/>
        </w:rPr>
      </w:pPr>
      <w:r>
        <w:rPr>
          <w:rFonts w:hint="eastAsia"/>
          <w:sz w:val="21"/>
        </w:rPr>
        <w:t xml:space="preserve">　　う。</w:t>
      </w:r>
    </w:p>
    <w:p w14:paraId="02F897BC" w14:textId="77777777" w:rsidR="007253E2" w:rsidRDefault="007253E2">
      <w:pPr>
        <w:rPr>
          <w:sz w:val="21"/>
        </w:rPr>
      </w:pPr>
    </w:p>
    <w:p w14:paraId="15E1AFD6" w14:textId="77777777" w:rsidR="00E811A2" w:rsidRDefault="00E811A2">
      <w:pPr>
        <w:rPr>
          <w:sz w:val="21"/>
        </w:rPr>
      </w:pPr>
      <w:r>
        <w:rPr>
          <w:rFonts w:hint="eastAsia"/>
          <w:sz w:val="21"/>
        </w:rPr>
        <w:t xml:space="preserve">　(3)更生管厚の算定式</w:t>
      </w:r>
    </w:p>
    <w:p w14:paraId="0E23627D" w14:textId="77777777" w:rsidR="00E811A2" w:rsidRDefault="00E811A2">
      <w:pPr>
        <w:ind w:leftChars="190" w:left="418"/>
        <w:rPr>
          <w:sz w:val="21"/>
        </w:rPr>
      </w:pPr>
      <w:r>
        <w:rPr>
          <w:rFonts w:hint="eastAsia"/>
          <w:sz w:val="21"/>
        </w:rPr>
        <w:t>「下水道用硬質塩化ビニル管(</w:t>
      </w:r>
      <w:proofErr w:type="spellStart"/>
      <w:r>
        <w:rPr>
          <w:rFonts w:hint="eastAsia"/>
          <w:sz w:val="21"/>
        </w:rPr>
        <w:t>JSWAS</w:t>
      </w:r>
      <w:proofErr w:type="spellEnd"/>
      <w:r>
        <w:rPr>
          <w:rFonts w:hint="eastAsia"/>
          <w:sz w:val="21"/>
        </w:rPr>
        <w:t xml:space="preserve"> K-1)」および「下水道用強化プラスチック複合管(</w:t>
      </w:r>
      <w:proofErr w:type="spellStart"/>
      <w:r>
        <w:rPr>
          <w:rFonts w:hint="eastAsia"/>
          <w:sz w:val="21"/>
        </w:rPr>
        <w:t>JSWAS</w:t>
      </w:r>
      <w:proofErr w:type="spellEnd"/>
      <w:r>
        <w:rPr>
          <w:rFonts w:hint="eastAsia"/>
          <w:sz w:val="21"/>
        </w:rPr>
        <w:t xml:space="preserve"> K-2)」によるものとする。</w:t>
      </w:r>
    </w:p>
    <w:p w14:paraId="0F7B6178" w14:textId="77777777" w:rsidR="009123DA" w:rsidRDefault="009123DA">
      <w:pPr>
        <w:ind w:leftChars="190" w:left="418"/>
        <w:rPr>
          <w:sz w:val="21"/>
        </w:rPr>
      </w:pPr>
    </w:p>
    <w:p w14:paraId="789F4C28" w14:textId="0480E4C6" w:rsidR="00E811A2" w:rsidRDefault="00E811A2" w:rsidP="009123DA">
      <w:pPr>
        <w:widowControl/>
        <w:adjustRightInd/>
        <w:spacing w:line="240" w:lineRule="auto"/>
        <w:jc w:val="left"/>
        <w:textAlignment w:val="auto"/>
        <w:rPr>
          <w:sz w:val="21"/>
        </w:rPr>
      </w:pPr>
      <w:r>
        <w:rPr>
          <w:rFonts w:hint="eastAsia"/>
          <w:sz w:val="21"/>
        </w:rPr>
        <w:t>(4)管厚の最大値</w:t>
      </w:r>
    </w:p>
    <w:p w14:paraId="12399CFC" w14:textId="77777777" w:rsidR="00E811A2" w:rsidRDefault="00E811A2">
      <w:pPr>
        <w:ind w:leftChars="95" w:left="419" w:hangingChars="100" w:hanging="210"/>
        <w:rPr>
          <w:sz w:val="21"/>
        </w:rPr>
      </w:pPr>
      <w:r>
        <w:rPr>
          <w:rFonts w:hint="eastAsia"/>
          <w:sz w:val="21"/>
        </w:rPr>
        <w:t xml:space="preserve">　　既設管の流下能力を確保するため、更生材の厚さの最大値と更生後の口径は以下の通りとする。</w:t>
      </w:r>
    </w:p>
    <w:tbl>
      <w:tblPr>
        <w:tblW w:w="4311" w:type="dxa"/>
        <w:tblInd w:w="2119" w:type="dxa"/>
        <w:tblCellMar>
          <w:left w:w="0" w:type="dxa"/>
          <w:right w:w="0" w:type="dxa"/>
        </w:tblCellMar>
        <w:tblLook w:val="0000" w:firstRow="0" w:lastRow="0" w:firstColumn="0" w:lastColumn="0" w:noHBand="0" w:noVBand="0"/>
      </w:tblPr>
      <w:tblGrid>
        <w:gridCol w:w="1599"/>
        <w:gridCol w:w="1356"/>
        <w:gridCol w:w="1356"/>
      </w:tblGrid>
      <w:tr w:rsidR="00E12362" w14:paraId="4E42D374" w14:textId="77777777" w:rsidTr="00366FFE">
        <w:trPr>
          <w:trHeight w:val="285"/>
        </w:trPr>
        <w:tc>
          <w:tcPr>
            <w:tcW w:w="1599" w:type="dxa"/>
            <w:tcBorders>
              <w:top w:val="single" w:sz="4" w:space="0" w:color="auto"/>
              <w:left w:val="single" w:sz="4" w:space="0" w:color="auto"/>
              <w:bottom w:val="nil"/>
              <w:right w:val="single" w:sz="4" w:space="0" w:color="auto"/>
            </w:tcBorders>
            <w:shd w:val="clear" w:color="auto" w:fill="CCFFFF"/>
            <w:vAlign w:val="bottom"/>
          </w:tcPr>
          <w:p w14:paraId="47482C2A" w14:textId="77777777" w:rsidR="00E12362" w:rsidRDefault="00E12362" w:rsidP="00BD5503">
            <w:pPr>
              <w:jc w:val="center"/>
              <w:rPr>
                <w:rFonts w:ascii="ＭＳ ゴシック" w:eastAsia="ＭＳ ゴシック" w:hAnsi="ＭＳ ゴシック" w:cs="Arial Unicode MS"/>
                <w:sz w:val="20"/>
              </w:rPr>
            </w:pPr>
            <w:r>
              <w:rPr>
                <w:rFonts w:ascii="ＭＳ ゴシック" w:eastAsia="ＭＳ ゴシック" w:hAnsi="ＭＳ ゴシック" w:hint="eastAsia"/>
                <w:sz w:val="20"/>
              </w:rPr>
              <w:t>管径</w:t>
            </w:r>
          </w:p>
        </w:tc>
        <w:tc>
          <w:tcPr>
            <w:tcW w:w="1356" w:type="dxa"/>
            <w:tcBorders>
              <w:top w:val="single" w:sz="4" w:space="0" w:color="auto"/>
              <w:left w:val="nil"/>
              <w:bottom w:val="nil"/>
              <w:right w:val="single" w:sz="4" w:space="0" w:color="auto"/>
            </w:tcBorders>
            <w:shd w:val="clear" w:color="auto" w:fill="CCFFFF"/>
            <w:noWrap/>
            <w:tcMar>
              <w:top w:w="15" w:type="dxa"/>
              <w:left w:w="15" w:type="dxa"/>
              <w:bottom w:w="0" w:type="dxa"/>
              <w:right w:w="15" w:type="dxa"/>
            </w:tcMar>
            <w:vAlign w:val="bottom"/>
          </w:tcPr>
          <w:p w14:paraId="36D31F13" w14:textId="77777777" w:rsidR="00E12362" w:rsidRDefault="00E12362" w:rsidP="00BD5503">
            <w:pPr>
              <w:jc w:val="center"/>
              <w:rPr>
                <w:rFonts w:ascii="ＭＳ ゴシック" w:eastAsia="ＭＳ ゴシック" w:hAnsi="ＭＳ ゴシック" w:cs="Arial Unicode MS"/>
                <w:sz w:val="20"/>
              </w:rPr>
            </w:pPr>
            <w:r>
              <w:rPr>
                <w:rFonts w:ascii="ＭＳ ゴシック" w:eastAsia="ＭＳ ゴシック" w:hAnsi="ＭＳ ゴシック" w:cs="Arial Unicode MS" w:hint="eastAsia"/>
                <w:sz w:val="20"/>
              </w:rPr>
              <w:t>更生材の</w:t>
            </w:r>
          </w:p>
        </w:tc>
        <w:tc>
          <w:tcPr>
            <w:tcW w:w="1356" w:type="dxa"/>
            <w:tcBorders>
              <w:top w:val="single" w:sz="4" w:space="0" w:color="auto"/>
              <w:left w:val="nil"/>
              <w:bottom w:val="nil"/>
              <w:right w:val="single" w:sz="4" w:space="0" w:color="auto"/>
            </w:tcBorders>
            <w:shd w:val="clear" w:color="auto" w:fill="CCFFFF"/>
          </w:tcPr>
          <w:p w14:paraId="5C5BF13F" w14:textId="77777777" w:rsidR="00E12362" w:rsidRDefault="00E12362" w:rsidP="00BD5503">
            <w:pPr>
              <w:jc w:val="center"/>
              <w:rPr>
                <w:rFonts w:ascii="ＭＳ ゴシック" w:eastAsia="ＭＳ ゴシック" w:hAnsi="ＭＳ ゴシック"/>
                <w:sz w:val="20"/>
              </w:rPr>
            </w:pPr>
            <w:r>
              <w:rPr>
                <w:rFonts w:ascii="ＭＳ ゴシック" w:eastAsia="ＭＳ ゴシック" w:hAnsi="ＭＳ ゴシック" w:hint="eastAsia"/>
                <w:sz w:val="20"/>
              </w:rPr>
              <w:t>更生後</w:t>
            </w:r>
          </w:p>
        </w:tc>
      </w:tr>
      <w:tr w:rsidR="00E12362" w14:paraId="34224F85" w14:textId="77777777" w:rsidTr="00366FFE">
        <w:trPr>
          <w:trHeight w:val="218"/>
        </w:trPr>
        <w:tc>
          <w:tcPr>
            <w:tcW w:w="0" w:type="auto"/>
            <w:tcBorders>
              <w:top w:val="nil"/>
              <w:left w:val="single" w:sz="4" w:space="0" w:color="auto"/>
              <w:bottom w:val="single" w:sz="4" w:space="0" w:color="auto"/>
              <w:right w:val="single" w:sz="4" w:space="0" w:color="auto"/>
            </w:tcBorders>
            <w:shd w:val="clear" w:color="auto" w:fill="CCFFFF"/>
            <w:vAlign w:val="bottom"/>
          </w:tcPr>
          <w:p w14:paraId="74B6F39C" w14:textId="77777777" w:rsidR="00E12362" w:rsidRDefault="00E12362" w:rsidP="00BD5503">
            <w:pPr>
              <w:jc w:val="center"/>
              <w:rPr>
                <w:rFonts w:ascii="ＭＳ ゴシック" w:eastAsia="ＭＳ ゴシック" w:hAnsi="ＭＳ ゴシック" w:cs="Arial Unicode MS"/>
                <w:sz w:val="20"/>
              </w:rPr>
            </w:pPr>
            <w:r>
              <w:rPr>
                <w:rFonts w:ascii="ＭＳ ゴシック" w:eastAsia="ＭＳ ゴシック" w:hAnsi="ＭＳ ゴシック" w:hint="eastAsia"/>
                <w:sz w:val="20"/>
              </w:rPr>
              <w:t>㎜</w:t>
            </w:r>
          </w:p>
        </w:tc>
        <w:tc>
          <w:tcPr>
            <w:tcW w:w="1356" w:type="dxa"/>
            <w:tcBorders>
              <w:top w:val="nil"/>
              <w:left w:val="nil"/>
              <w:bottom w:val="single" w:sz="4" w:space="0" w:color="auto"/>
              <w:right w:val="single" w:sz="4" w:space="0" w:color="auto"/>
            </w:tcBorders>
            <w:shd w:val="clear" w:color="auto" w:fill="CCFFFF"/>
            <w:noWrap/>
            <w:tcMar>
              <w:top w:w="15" w:type="dxa"/>
              <w:left w:w="15" w:type="dxa"/>
              <w:bottom w:w="0" w:type="dxa"/>
              <w:right w:w="15" w:type="dxa"/>
            </w:tcMar>
            <w:vAlign w:val="bottom"/>
          </w:tcPr>
          <w:p w14:paraId="29ACAC26" w14:textId="77777777" w:rsidR="00E12362" w:rsidRDefault="00E12362" w:rsidP="00BD5503">
            <w:pPr>
              <w:jc w:val="center"/>
              <w:rPr>
                <w:rFonts w:ascii="ＭＳ ゴシック" w:eastAsia="ＭＳ ゴシック" w:hAnsi="ＭＳ ゴシック" w:cs="Arial Unicode MS"/>
                <w:sz w:val="20"/>
              </w:rPr>
            </w:pPr>
            <w:r>
              <w:rPr>
                <w:rFonts w:ascii="ＭＳ ゴシック" w:eastAsia="ＭＳ ゴシック" w:hAnsi="ＭＳ ゴシック" w:cs="Arial Unicode MS" w:hint="eastAsia"/>
                <w:sz w:val="20"/>
              </w:rPr>
              <w:t>最大厚さ</w:t>
            </w:r>
          </w:p>
        </w:tc>
        <w:tc>
          <w:tcPr>
            <w:tcW w:w="1356" w:type="dxa"/>
            <w:tcBorders>
              <w:top w:val="nil"/>
              <w:left w:val="nil"/>
              <w:bottom w:val="single" w:sz="4" w:space="0" w:color="auto"/>
              <w:right w:val="single" w:sz="4" w:space="0" w:color="auto"/>
            </w:tcBorders>
            <w:shd w:val="clear" w:color="auto" w:fill="CCFFFF"/>
          </w:tcPr>
          <w:p w14:paraId="6054E6AC" w14:textId="77777777" w:rsidR="00E12362" w:rsidRDefault="00E12362" w:rsidP="00BD5503">
            <w:pPr>
              <w:jc w:val="center"/>
              <w:rPr>
                <w:rFonts w:ascii="ＭＳ ゴシック" w:eastAsia="ＭＳ ゴシック" w:hAnsi="ＭＳ ゴシック" w:cs="Arial Unicode MS"/>
                <w:sz w:val="20"/>
              </w:rPr>
            </w:pPr>
            <w:r>
              <w:rPr>
                <w:rFonts w:ascii="ＭＳ ゴシック" w:eastAsia="ＭＳ ゴシック" w:hAnsi="ＭＳ ゴシック" w:cs="Arial Unicode MS" w:hint="eastAsia"/>
                <w:sz w:val="20"/>
              </w:rPr>
              <w:t>の口径</w:t>
            </w:r>
          </w:p>
        </w:tc>
      </w:tr>
      <w:tr w:rsidR="0093333A" w14:paraId="09B445B4" w14:textId="77777777" w:rsidTr="002E3C3F">
        <w:trPr>
          <w:trHeight w:val="300"/>
        </w:trPr>
        <w:tc>
          <w:tcPr>
            <w:tcW w:w="0" w:type="auto"/>
            <w:tcBorders>
              <w:top w:val="single" w:sz="4" w:space="0" w:color="auto"/>
              <w:left w:val="single" w:sz="4" w:space="0" w:color="auto"/>
              <w:bottom w:val="single" w:sz="4" w:space="0" w:color="auto"/>
              <w:right w:val="single" w:sz="4" w:space="0" w:color="auto"/>
            </w:tcBorders>
            <w:vAlign w:val="center"/>
          </w:tcPr>
          <w:p w14:paraId="5359105D" w14:textId="2D680F37" w:rsidR="0093333A" w:rsidRDefault="0093333A" w:rsidP="002E3C3F">
            <w:pPr>
              <w:jc w:val="center"/>
              <w:rPr>
                <w:rFonts w:hAnsi="ＭＳ Ｐ明朝"/>
                <w:sz w:val="20"/>
              </w:rPr>
            </w:pPr>
            <w:r>
              <w:rPr>
                <w:rFonts w:hAnsi="ＭＳ Ｐ明朝" w:hint="eastAsia"/>
                <w:sz w:val="20"/>
              </w:rPr>
              <w:t>200</w:t>
            </w:r>
          </w:p>
        </w:tc>
        <w:tc>
          <w:tcPr>
            <w:tcW w:w="135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AD59402" w14:textId="05AF47B8" w:rsidR="0093333A" w:rsidRDefault="0093333A" w:rsidP="006A0FE3">
            <w:pPr>
              <w:jc w:val="center"/>
              <w:rPr>
                <w:rFonts w:hAnsi="ＭＳ Ｐ明朝"/>
                <w:sz w:val="20"/>
              </w:rPr>
            </w:pPr>
            <w:r>
              <w:rPr>
                <w:rFonts w:hAnsi="ＭＳ Ｐ明朝" w:hint="eastAsia"/>
                <w:sz w:val="20"/>
              </w:rPr>
              <w:t>11.5</w:t>
            </w:r>
          </w:p>
        </w:tc>
        <w:tc>
          <w:tcPr>
            <w:tcW w:w="1356" w:type="dxa"/>
            <w:tcBorders>
              <w:top w:val="single" w:sz="4" w:space="0" w:color="auto"/>
              <w:left w:val="nil"/>
              <w:bottom w:val="single" w:sz="4" w:space="0" w:color="auto"/>
              <w:right w:val="single" w:sz="4" w:space="0" w:color="auto"/>
            </w:tcBorders>
          </w:tcPr>
          <w:p w14:paraId="0E9BCA80" w14:textId="71CB1FAC" w:rsidR="0093333A" w:rsidRDefault="0093333A" w:rsidP="002E3C3F">
            <w:pPr>
              <w:jc w:val="center"/>
              <w:rPr>
                <w:sz w:val="20"/>
              </w:rPr>
            </w:pPr>
            <w:r>
              <w:rPr>
                <w:rFonts w:hint="eastAsia"/>
                <w:sz w:val="20"/>
              </w:rPr>
              <w:t>227㎜以上</w:t>
            </w:r>
          </w:p>
        </w:tc>
      </w:tr>
      <w:tr w:rsidR="0093333A" w14:paraId="785CE6C9" w14:textId="77777777" w:rsidTr="002E3C3F">
        <w:trPr>
          <w:trHeight w:val="300"/>
        </w:trPr>
        <w:tc>
          <w:tcPr>
            <w:tcW w:w="0" w:type="auto"/>
            <w:tcBorders>
              <w:top w:val="single" w:sz="4" w:space="0" w:color="auto"/>
              <w:left w:val="single" w:sz="4" w:space="0" w:color="auto"/>
              <w:bottom w:val="single" w:sz="4" w:space="0" w:color="auto"/>
              <w:right w:val="single" w:sz="4" w:space="0" w:color="auto"/>
            </w:tcBorders>
            <w:vAlign w:val="center"/>
          </w:tcPr>
          <w:p w14:paraId="3620FA82" w14:textId="66B71425" w:rsidR="0093333A" w:rsidRDefault="0093333A" w:rsidP="002E3C3F">
            <w:pPr>
              <w:jc w:val="center"/>
              <w:rPr>
                <w:rFonts w:hAnsi="ＭＳ Ｐ明朝"/>
                <w:sz w:val="20"/>
              </w:rPr>
            </w:pPr>
            <w:r>
              <w:rPr>
                <w:rFonts w:hAnsi="ＭＳ Ｐ明朝" w:hint="eastAsia"/>
                <w:sz w:val="20"/>
              </w:rPr>
              <w:t>300</w:t>
            </w:r>
          </w:p>
        </w:tc>
        <w:tc>
          <w:tcPr>
            <w:tcW w:w="135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A372C2A" w14:textId="4FDAE94A" w:rsidR="0093333A" w:rsidRDefault="0093333A" w:rsidP="006A0FE3">
            <w:pPr>
              <w:jc w:val="center"/>
              <w:rPr>
                <w:rFonts w:hAnsi="ＭＳ Ｐ明朝"/>
                <w:sz w:val="20"/>
              </w:rPr>
            </w:pPr>
            <w:r>
              <w:rPr>
                <w:rFonts w:hAnsi="ＭＳ Ｐ明朝" w:hint="eastAsia"/>
                <w:sz w:val="20"/>
              </w:rPr>
              <w:t>14.0</w:t>
            </w:r>
          </w:p>
        </w:tc>
        <w:tc>
          <w:tcPr>
            <w:tcW w:w="1356" w:type="dxa"/>
            <w:tcBorders>
              <w:top w:val="single" w:sz="4" w:space="0" w:color="auto"/>
              <w:left w:val="nil"/>
              <w:bottom w:val="single" w:sz="4" w:space="0" w:color="auto"/>
              <w:right w:val="single" w:sz="4" w:space="0" w:color="auto"/>
            </w:tcBorders>
          </w:tcPr>
          <w:p w14:paraId="21A6000E" w14:textId="42CE197F" w:rsidR="0093333A" w:rsidRDefault="0093333A" w:rsidP="002E3C3F">
            <w:pPr>
              <w:jc w:val="center"/>
              <w:rPr>
                <w:sz w:val="20"/>
              </w:rPr>
            </w:pPr>
            <w:r>
              <w:rPr>
                <w:rFonts w:hint="eastAsia"/>
                <w:sz w:val="20"/>
              </w:rPr>
              <w:t>272㎜以上</w:t>
            </w:r>
          </w:p>
        </w:tc>
      </w:tr>
      <w:tr w:rsidR="0093333A" w14:paraId="244BB369" w14:textId="77777777" w:rsidTr="002E3C3F">
        <w:trPr>
          <w:trHeight w:val="300"/>
        </w:trPr>
        <w:tc>
          <w:tcPr>
            <w:tcW w:w="0" w:type="auto"/>
            <w:tcBorders>
              <w:top w:val="single" w:sz="4" w:space="0" w:color="auto"/>
              <w:left w:val="single" w:sz="4" w:space="0" w:color="auto"/>
              <w:bottom w:val="single" w:sz="4" w:space="0" w:color="auto"/>
              <w:right w:val="single" w:sz="4" w:space="0" w:color="auto"/>
            </w:tcBorders>
            <w:vAlign w:val="center"/>
          </w:tcPr>
          <w:p w14:paraId="1F0E94B9" w14:textId="55777119" w:rsidR="0093333A" w:rsidRDefault="0093333A" w:rsidP="002E3C3F">
            <w:pPr>
              <w:jc w:val="center"/>
              <w:rPr>
                <w:rFonts w:hAnsi="ＭＳ Ｐ明朝"/>
                <w:sz w:val="20"/>
              </w:rPr>
            </w:pPr>
            <w:r>
              <w:rPr>
                <w:rFonts w:hAnsi="ＭＳ Ｐ明朝" w:hint="eastAsia"/>
                <w:sz w:val="20"/>
              </w:rPr>
              <w:t>350</w:t>
            </w:r>
          </w:p>
        </w:tc>
        <w:tc>
          <w:tcPr>
            <w:tcW w:w="135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D6C3FAC" w14:textId="17AAF8AD" w:rsidR="0093333A" w:rsidRDefault="0093333A" w:rsidP="006A0FE3">
            <w:pPr>
              <w:jc w:val="center"/>
              <w:rPr>
                <w:rFonts w:hAnsi="ＭＳ Ｐ明朝"/>
                <w:sz w:val="20"/>
              </w:rPr>
            </w:pPr>
            <w:r>
              <w:rPr>
                <w:rFonts w:hAnsi="ＭＳ Ｐ明朝" w:hint="eastAsia"/>
                <w:sz w:val="20"/>
              </w:rPr>
              <w:t>16.3</w:t>
            </w:r>
          </w:p>
        </w:tc>
        <w:tc>
          <w:tcPr>
            <w:tcW w:w="1356" w:type="dxa"/>
            <w:tcBorders>
              <w:top w:val="single" w:sz="4" w:space="0" w:color="auto"/>
              <w:left w:val="nil"/>
              <w:bottom w:val="single" w:sz="4" w:space="0" w:color="auto"/>
              <w:right w:val="single" w:sz="4" w:space="0" w:color="auto"/>
            </w:tcBorders>
          </w:tcPr>
          <w:p w14:paraId="0CD36162" w14:textId="01312C00" w:rsidR="0093333A" w:rsidRDefault="0093333A" w:rsidP="002E3C3F">
            <w:pPr>
              <w:jc w:val="center"/>
              <w:rPr>
                <w:sz w:val="20"/>
              </w:rPr>
            </w:pPr>
            <w:r>
              <w:rPr>
                <w:rFonts w:hint="eastAsia"/>
                <w:sz w:val="20"/>
              </w:rPr>
              <w:t>318㎜以上</w:t>
            </w:r>
          </w:p>
        </w:tc>
      </w:tr>
      <w:tr w:rsidR="0093333A" w14:paraId="22F581ED" w14:textId="77777777" w:rsidTr="002E3C3F">
        <w:trPr>
          <w:trHeight w:val="300"/>
        </w:trPr>
        <w:tc>
          <w:tcPr>
            <w:tcW w:w="0" w:type="auto"/>
            <w:tcBorders>
              <w:top w:val="single" w:sz="4" w:space="0" w:color="auto"/>
              <w:left w:val="single" w:sz="4" w:space="0" w:color="auto"/>
              <w:bottom w:val="single" w:sz="4" w:space="0" w:color="auto"/>
              <w:right w:val="single" w:sz="4" w:space="0" w:color="auto"/>
            </w:tcBorders>
            <w:vAlign w:val="center"/>
          </w:tcPr>
          <w:p w14:paraId="032D3686" w14:textId="4E93920C" w:rsidR="0093333A" w:rsidRDefault="0093333A" w:rsidP="002E3C3F">
            <w:pPr>
              <w:jc w:val="center"/>
              <w:rPr>
                <w:rFonts w:hAnsi="ＭＳ Ｐ明朝"/>
                <w:sz w:val="20"/>
              </w:rPr>
            </w:pPr>
            <w:r>
              <w:rPr>
                <w:rFonts w:hAnsi="ＭＳ Ｐ明朝" w:hint="eastAsia"/>
                <w:sz w:val="20"/>
              </w:rPr>
              <w:lastRenderedPageBreak/>
              <w:t>400</w:t>
            </w:r>
          </w:p>
        </w:tc>
        <w:tc>
          <w:tcPr>
            <w:tcW w:w="135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8916B3F" w14:textId="23270480" w:rsidR="0093333A" w:rsidRDefault="0093333A" w:rsidP="006A0FE3">
            <w:pPr>
              <w:jc w:val="center"/>
              <w:rPr>
                <w:rFonts w:hAnsi="ＭＳ Ｐ明朝"/>
                <w:sz w:val="20"/>
              </w:rPr>
            </w:pPr>
            <w:r>
              <w:rPr>
                <w:rFonts w:hAnsi="ＭＳ Ｐ明朝" w:hint="eastAsia"/>
                <w:sz w:val="20"/>
              </w:rPr>
              <w:t>19.0</w:t>
            </w:r>
          </w:p>
        </w:tc>
        <w:tc>
          <w:tcPr>
            <w:tcW w:w="1356" w:type="dxa"/>
            <w:tcBorders>
              <w:top w:val="single" w:sz="4" w:space="0" w:color="auto"/>
              <w:left w:val="nil"/>
              <w:bottom w:val="single" w:sz="4" w:space="0" w:color="auto"/>
              <w:right w:val="single" w:sz="4" w:space="0" w:color="auto"/>
            </w:tcBorders>
          </w:tcPr>
          <w:p w14:paraId="7DCC5568" w14:textId="4D5C5F11" w:rsidR="0093333A" w:rsidRDefault="0093333A" w:rsidP="002E3C3F">
            <w:pPr>
              <w:jc w:val="center"/>
              <w:rPr>
                <w:sz w:val="20"/>
              </w:rPr>
            </w:pPr>
            <w:r>
              <w:rPr>
                <w:rFonts w:hint="eastAsia"/>
                <w:sz w:val="20"/>
              </w:rPr>
              <w:t>362㎜以上</w:t>
            </w:r>
          </w:p>
        </w:tc>
      </w:tr>
      <w:tr w:rsidR="0093333A" w14:paraId="5FEF6409" w14:textId="77777777" w:rsidTr="002E3C3F">
        <w:trPr>
          <w:trHeight w:val="300"/>
        </w:trPr>
        <w:tc>
          <w:tcPr>
            <w:tcW w:w="0" w:type="auto"/>
            <w:tcBorders>
              <w:top w:val="single" w:sz="4" w:space="0" w:color="auto"/>
              <w:left w:val="single" w:sz="4" w:space="0" w:color="auto"/>
              <w:bottom w:val="single" w:sz="4" w:space="0" w:color="auto"/>
              <w:right w:val="single" w:sz="4" w:space="0" w:color="auto"/>
            </w:tcBorders>
            <w:vAlign w:val="center"/>
          </w:tcPr>
          <w:p w14:paraId="4DE943DF" w14:textId="541BD04E" w:rsidR="0093333A" w:rsidRDefault="0093333A" w:rsidP="002E3C3F">
            <w:pPr>
              <w:jc w:val="center"/>
              <w:rPr>
                <w:rFonts w:hAnsi="ＭＳ Ｐ明朝"/>
                <w:sz w:val="20"/>
              </w:rPr>
            </w:pPr>
            <w:r>
              <w:rPr>
                <w:rFonts w:hAnsi="ＭＳ Ｐ明朝" w:hint="eastAsia"/>
                <w:sz w:val="20"/>
              </w:rPr>
              <w:t>450</w:t>
            </w:r>
          </w:p>
        </w:tc>
        <w:tc>
          <w:tcPr>
            <w:tcW w:w="135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8DD970F" w14:textId="0C267985" w:rsidR="0093333A" w:rsidRDefault="0093333A" w:rsidP="006A0FE3">
            <w:pPr>
              <w:jc w:val="center"/>
              <w:rPr>
                <w:rFonts w:hAnsi="ＭＳ Ｐ明朝"/>
                <w:sz w:val="20"/>
              </w:rPr>
            </w:pPr>
            <w:r>
              <w:rPr>
                <w:rFonts w:hAnsi="ＭＳ Ｐ明朝" w:hint="eastAsia"/>
                <w:sz w:val="20"/>
              </w:rPr>
              <w:t>21.0</w:t>
            </w:r>
          </w:p>
        </w:tc>
        <w:tc>
          <w:tcPr>
            <w:tcW w:w="1356" w:type="dxa"/>
            <w:tcBorders>
              <w:top w:val="single" w:sz="4" w:space="0" w:color="auto"/>
              <w:left w:val="nil"/>
              <w:bottom w:val="single" w:sz="4" w:space="0" w:color="auto"/>
              <w:right w:val="single" w:sz="4" w:space="0" w:color="auto"/>
            </w:tcBorders>
          </w:tcPr>
          <w:p w14:paraId="37F8D425" w14:textId="033DCD42" w:rsidR="0093333A" w:rsidRDefault="0093333A" w:rsidP="002E3C3F">
            <w:pPr>
              <w:jc w:val="center"/>
              <w:rPr>
                <w:sz w:val="20"/>
              </w:rPr>
            </w:pPr>
            <w:r>
              <w:rPr>
                <w:rFonts w:hint="eastAsia"/>
                <w:sz w:val="20"/>
              </w:rPr>
              <w:t>408㎜以上</w:t>
            </w:r>
          </w:p>
        </w:tc>
      </w:tr>
      <w:tr w:rsidR="006A0FE3" w14:paraId="251435ED" w14:textId="77777777" w:rsidTr="002E3C3F">
        <w:trPr>
          <w:trHeight w:val="300"/>
        </w:trPr>
        <w:tc>
          <w:tcPr>
            <w:tcW w:w="0" w:type="auto"/>
            <w:tcBorders>
              <w:top w:val="single" w:sz="4" w:space="0" w:color="auto"/>
              <w:left w:val="single" w:sz="4" w:space="0" w:color="auto"/>
              <w:bottom w:val="single" w:sz="4" w:space="0" w:color="auto"/>
              <w:right w:val="single" w:sz="4" w:space="0" w:color="auto"/>
            </w:tcBorders>
            <w:vAlign w:val="center"/>
          </w:tcPr>
          <w:p w14:paraId="23515E89" w14:textId="77777777" w:rsidR="006A0FE3" w:rsidRDefault="006A0FE3" w:rsidP="002E3C3F">
            <w:pPr>
              <w:jc w:val="center"/>
              <w:rPr>
                <w:rFonts w:hAnsi="ＭＳ Ｐ明朝" w:cs="Arial Unicode MS"/>
                <w:sz w:val="20"/>
              </w:rPr>
            </w:pPr>
            <w:r>
              <w:rPr>
                <w:rFonts w:hAnsi="ＭＳ Ｐ明朝" w:hint="eastAsia"/>
                <w:sz w:val="20"/>
              </w:rPr>
              <w:t>500</w:t>
            </w:r>
          </w:p>
        </w:tc>
        <w:tc>
          <w:tcPr>
            <w:tcW w:w="135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3A4709C" w14:textId="77777777" w:rsidR="006A0FE3" w:rsidRDefault="006A0FE3" w:rsidP="006A0FE3">
            <w:pPr>
              <w:jc w:val="center"/>
              <w:rPr>
                <w:rFonts w:hAnsi="ＭＳ Ｐ明朝" w:cs="Arial Unicode MS"/>
                <w:sz w:val="20"/>
              </w:rPr>
            </w:pPr>
            <w:r>
              <w:rPr>
                <w:rFonts w:hAnsi="ＭＳ Ｐ明朝"/>
                <w:sz w:val="20"/>
              </w:rPr>
              <w:t>23.0</w:t>
            </w:r>
          </w:p>
        </w:tc>
        <w:tc>
          <w:tcPr>
            <w:tcW w:w="1356" w:type="dxa"/>
            <w:tcBorders>
              <w:top w:val="single" w:sz="4" w:space="0" w:color="auto"/>
              <w:left w:val="nil"/>
              <w:bottom w:val="single" w:sz="4" w:space="0" w:color="auto"/>
              <w:right w:val="single" w:sz="4" w:space="0" w:color="auto"/>
            </w:tcBorders>
          </w:tcPr>
          <w:p w14:paraId="5680C50C" w14:textId="77777777" w:rsidR="006A0FE3" w:rsidRPr="00B6209B" w:rsidRDefault="006A0FE3" w:rsidP="002E3C3F">
            <w:pPr>
              <w:jc w:val="center"/>
              <w:rPr>
                <w:sz w:val="20"/>
              </w:rPr>
            </w:pPr>
            <w:r>
              <w:rPr>
                <w:sz w:val="20"/>
              </w:rPr>
              <w:t>454</w:t>
            </w:r>
            <w:r w:rsidRPr="00B6209B">
              <w:rPr>
                <w:rFonts w:hint="eastAsia"/>
                <w:sz w:val="20"/>
              </w:rPr>
              <w:t>㎜以上</w:t>
            </w:r>
          </w:p>
        </w:tc>
      </w:tr>
      <w:tr w:rsidR="006A0FE3" w14:paraId="5F3C970F" w14:textId="77777777" w:rsidTr="002E3C3F">
        <w:trPr>
          <w:trHeight w:val="300"/>
        </w:trPr>
        <w:tc>
          <w:tcPr>
            <w:tcW w:w="0" w:type="auto"/>
            <w:tcBorders>
              <w:top w:val="single" w:sz="4" w:space="0" w:color="auto"/>
              <w:left w:val="single" w:sz="4" w:space="0" w:color="auto"/>
              <w:bottom w:val="single" w:sz="4" w:space="0" w:color="auto"/>
              <w:right w:val="single" w:sz="4" w:space="0" w:color="auto"/>
            </w:tcBorders>
            <w:vAlign w:val="center"/>
          </w:tcPr>
          <w:p w14:paraId="13659367" w14:textId="77777777" w:rsidR="006A0FE3" w:rsidRDefault="006A0FE3" w:rsidP="002E3C3F">
            <w:pPr>
              <w:jc w:val="center"/>
              <w:rPr>
                <w:rFonts w:hAnsi="ＭＳ Ｐ明朝" w:cs="Arial Unicode MS"/>
                <w:sz w:val="20"/>
              </w:rPr>
            </w:pPr>
            <w:r>
              <w:rPr>
                <w:rFonts w:hAnsi="ＭＳ Ｐ明朝" w:hint="eastAsia"/>
                <w:sz w:val="20"/>
              </w:rPr>
              <w:t>600</w:t>
            </w:r>
          </w:p>
        </w:tc>
        <w:tc>
          <w:tcPr>
            <w:tcW w:w="135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AD482C7" w14:textId="77777777" w:rsidR="006A0FE3" w:rsidRDefault="006A0FE3" w:rsidP="002E3C3F">
            <w:pPr>
              <w:jc w:val="center"/>
              <w:rPr>
                <w:rFonts w:hAnsi="ＭＳ Ｐ明朝" w:cs="Arial Unicode MS"/>
                <w:sz w:val="20"/>
              </w:rPr>
            </w:pPr>
            <w:r>
              <w:rPr>
                <w:rFonts w:hAnsi="ＭＳ Ｐ明朝"/>
                <w:sz w:val="20"/>
              </w:rPr>
              <w:t>28.0</w:t>
            </w:r>
          </w:p>
        </w:tc>
        <w:tc>
          <w:tcPr>
            <w:tcW w:w="1356" w:type="dxa"/>
            <w:tcBorders>
              <w:top w:val="single" w:sz="4" w:space="0" w:color="auto"/>
              <w:left w:val="nil"/>
              <w:bottom w:val="single" w:sz="4" w:space="0" w:color="auto"/>
              <w:right w:val="single" w:sz="4" w:space="0" w:color="auto"/>
            </w:tcBorders>
          </w:tcPr>
          <w:p w14:paraId="05A9D427" w14:textId="77777777" w:rsidR="006A0FE3" w:rsidRPr="00B6209B" w:rsidRDefault="006A0FE3" w:rsidP="002E3C3F">
            <w:pPr>
              <w:jc w:val="center"/>
              <w:rPr>
                <w:sz w:val="20"/>
              </w:rPr>
            </w:pPr>
            <w:r>
              <w:rPr>
                <w:sz w:val="20"/>
              </w:rPr>
              <w:t>544</w:t>
            </w:r>
            <w:r w:rsidRPr="00B6209B">
              <w:rPr>
                <w:rFonts w:hint="eastAsia"/>
                <w:sz w:val="20"/>
              </w:rPr>
              <w:t>㎜以上</w:t>
            </w:r>
          </w:p>
        </w:tc>
      </w:tr>
    </w:tbl>
    <w:p w14:paraId="089BFC80" w14:textId="77777777" w:rsidR="001B379D" w:rsidRDefault="001B379D">
      <w:pPr>
        <w:ind w:firstLineChars="100" w:firstLine="210"/>
        <w:rPr>
          <w:sz w:val="21"/>
        </w:rPr>
      </w:pPr>
    </w:p>
    <w:p w14:paraId="63326EA6" w14:textId="77777777" w:rsidR="00E811A2" w:rsidRDefault="00E811A2">
      <w:pPr>
        <w:ind w:firstLineChars="100" w:firstLine="210"/>
        <w:rPr>
          <w:sz w:val="21"/>
        </w:rPr>
      </w:pPr>
      <w:r>
        <w:rPr>
          <w:rFonts w:hint="eastAsia"/>
          <w:sz w:val="21"/>
        </w:rPr>
        <w:t>(5)土被り</w:t>
      </w:r>
    </w:p>
    <w:p w14:paraId="20CBC055" w14:textId="77777777" w:rsidR="00E811A2" w:rsidRDefault="00E811A2">
      <w:pPr>
        <w:ind w:firstLineChars="100" w:firstLine="210"/>
        <w:rPr>
          <w:sz w:val="21"/>
        </w:rPr>
      </w:pPr>
      <w:r>
        <w:rPr>
          <w:rFonts w:hint="eastAsia"/>
          <w:sz w:val="21"/>
        </w:rPr>
        <w:t xml:space="preserve">　　</w:t>
      </w:r>
      <w:r w:rsidR="00790286">
        <w:rPr>
          <w:rFonts w:hint="eastAsia"/>
          <w:sz w:val="21"/>
        </w:rPr>
        <w:t>受注</w:t>
      </w:r>
      <w:r>
        <w:rPr>
          <w:rFonts w:hint="eastAsia"/>
          <w:sz w:val="21"/>
        </w:rPr>
        <w:t>者により現地確認し、最大土被りにより計算するものとする。</w:t>
      </w:r>
    </w:p>
    <w:p w14:paraId="439E312E" w14:textId="77777777" w:rsidR="004F64A1" w:rsidRDefault="004F64A1" w:rsidP="006A0FE3">
      <w:pPr>
        <w:pStyle w:val="ab"/>
      </w:pPr>
    </w:p>
    <w:p w14:paraId="26D1834F" w14:textId="77777777" w:rsidR="00E811A2" w:rsidRPr="007253E2" w:rsidRDefault="00154213">
      <w:pPr>
        <w:rPr>
          <w:sz w:val="21"/>
          <w:szCs w:val="21"/>
        </w:rPr>
      </w:pPr>
      <w:r w:rsidRPr="007253E2">
        <w:rPr>
          <w:rFonts w:ascii="ＭＳ ゴシック" w:eastAsia="ＭＳ ゴシック" w:hAnsi="ＭＳ ゴシック" w:hint="eastAsia"/>
          <w:sz w:val="21"/>
          <w:szCs w:val="21"/>
        </w:rPr>
        <w:t>2</w:t>
      </w:r>
      <w:r w:rsidR="00E811A2" w:rsidRPr="007253E2">
        <w:rPr>
          <w:rFonts w:ascii="ＭＳ ゴシック" w:eastAsia="ＭＳ ゴシック" w:hAnsi="ＭＳ ゴシック" w:hint="eastAsia"/>
          <w:sz w:val="21"/>
          <w:szCs w:val="21"/>
        </w:rPr>
        <w:t>.2　材料特性</w:t>
      </w:r>
    </w:p>
    <w:p w14:paraId="4EA7401F" w14:textId="77777777" w:rsidR="00E811A2" w:rsidRPr="007253E2" w:rsidRDefault="00790286" w:rsidP="001153BB">
      <w:pPr>
        <w:ind w:firstLineChars="100" w:firstLine="210"/>
        <w:rPr>
          <w:sz w:val="21"/>
          <w:szCs w:val="21"/>
        </w:rPr>
      </w:pPr>
      <w:r w:rsidRPr="007253E2">
        <w:rPr>
          <w:rFonts w:hint="eastAsia"/>
          <w:sz w:val="21"/>
          <w:szCs w:val="21"/>
        </w:rPr>
        <w:t>受注</w:t>
      </w:r>
      <w:r w:rsidR="00E811A2" w:rsidRPr="007253E2">
        <w:rPr>
          <w:rFonts w:hint="eastAsia"/>
          <w:sz w:val="21"/>
          <w:szCs w:val="21"/>
        </w:rPr>
        <w:t>者は、使用する更生管材料が物性値の要求性能として耐荷性能(外圧強さ、曲げ強さ、曲げ弾性係数、引張強度、引張弾性係数、圧縮強度、圧縮弾性係数)、耐ストレインコロージョン性(ガラス繊維を使用しているもの)、耐薬品性、耐摩耗性、耐劣化性、水密性および水理性能について公的機関の審査証明を得たもの又はこれと同等以上の品質を有するものでなければならない。</w:t>
      </w:r>
    </w:p>
    <w:p w14:paraId="0153B79D" w14:textId="77777777" w:rsidR="00E811A2" w:rsidRPr="007253E2" w:rsidRDefault="00E811A2" w:rsidP="006A0FE3">
      <w:pPr>
        <w:pStyle w:val="ab"/>
      </w:pPr>
    </w:p>
    <w:p w14:paraId="03B7A70E" w14:textId="77777777" w:rsidR="007253E2" w:rsidRPr="000C64A3" w:rsidRDefault="007253E2" w:rsidP="009917AC">
      <w:pPr>
        <w:widowControl/>
        <w:adjustRightInd/>
        <w:spacing w:line="240" w:lineRule="auto"/>
        <w:jc w:val="left"/>
        <w:textAlignment w:val="auto"/>
        <w:rPr>
          <w:rFonts w:ascii="ＭＳ ゴシック" w:eastAsia="ＭＳ ゴシック" w:hAnsi="ＭＳ ゴシック"/>
          <w:sz w:val="21"/>
          <w:szCs w:val="21"/>
        </w:rPr>
      </w:pPr>
      <w:r w:rsidRPr="000C64A3">
        <w:rPr>
          <w:rFonts w:ascii="ＭＳ ゴシック" w:eastAsia="ＭＳ ゴシック" w:hAnsi="ＭＳ ゴシック" w:hint="eastAsia"/>
          <w:sz w:val="21"/>
          <w:szCs w:val="21"/>
        </w:rPr>
        <w:t>2.3　更生材料</w:t>
      </w:r>
    </w:p>
    <w:p w14:paraId="37906D39" w14:textId="77777777" w:rsidR="007253E2" w:rsidRPr="00F1313B" w:rsidRDefault="00B00DC5" w:rsidP="001153BB">
      <w:pPr>
        <w:ind w:firstLineChars="100" w:firstLine="210"/>
        <w:rPr>
          <w:sz w:val="21"/>
          <w:szCs w:val="21"/>
        </w:rPr>
      </w:pPr>
      <w:r>
        <w:rPr>
          <w:rFonts w:hAnsi="ＭＳ 明朝" w:hint="eastAsia"/>
          <w:sz w:val="21"/>
          <w:szCs w:val="21"/>
        </w:rPr>
        <w:t>下水道協会による</w:t>
      </w:r>
      <w:r w:rsidR="007253E2" w:rsidRPr="00F1313B">
        <w:rPr>
          <w:rFonts w:hAnsi="ＭＳ 明朝" w:hint="eastAsia"/>
          <w:sz w:val="21"/>
          <w:szCs w:val="21"/>
        </w:rPr>
        <w:t>工場</w:t>
      </w:r>
      <w:r w:rsidRPr="00F1313B">
        <w:rPr>
          <w:rFonts w:hAnsi="ＭＳ 明朝" w:hint="eastAsia"/>
          <w:sz w:val="21"/>
          <w:szCs w:val="21"/>
        </w:rPr>
        <w:t>認定</w:t>
      </w:r>
      <w:r w:rsidR="007253E2" w:rsidRPr="00F1313B">
        <w:rPr>
          <w:rFonts w:hAnsi="ＭＳ 明朝" w:hint="eastAsia"/>
          <w:sz w:val="21"/>
          <w:szCs w:val="21"/>
        </w:rPr>
        <w:t>制度</w:t>
      </w:r>
      <w:r>
        <w:rPr>
          <w:rFonts w:hAnsi="ＭＳ 明朝" w:hint="eastAsia"/>
          <w:sz w:val="21"/>
          <w:szCs w:val="21"/>
        </w:rPr>
        <w:t>(Ⅱ類登録)</w:t>
      </w:r>
      <w:r w:rsidR="007253E2" w:rsidRPr="00F1313B">
        <w:rPr>
          <w:rFonts w:hAnsi="ＭＳ 明朝" w:hint="eastAsia"/>
          <w:sz w:val="21"/>
          <w:szCs w:val="21"/>
        </w:rPr>
        <w:t>の検査照明書を別途提出することにより、</w:t>
      </w:r>
      <w:r>
        <w:rPr>
          <w:rFonts w:hAnsi="ＭＳ 明朝" w:hint="eastAsia"/>
          <w:sz w:val="21"/>
          <w:szCs w:val="21"/>
        </w:rPr>
        <w:t>別表</w:t>
      </w:r>
      <w:r w:rsidR="001153BB">
        <w:rPr>
          <w:rFonts w:hAnsi="ＭＳ 明朝" w:hint="eastAsia"/>
          <w:sz w:val="21"/>
          <w:szCs w:val="21"/>
        </w:rPr>
        <w:t>１</w:t>
      </w:r>
      <w:r>
        <w:rPr>
          <w:rFonts w:hAnsi="ＭＳ 明朝" w:hint="eastAsia"/>
          <w:sz w:val="21"/>
          <w:szCs w:val="21"/>
        </w:rPr>
        <w:t>の通り、現場で確認すべき</w:t>
      </w:r>
      <w:r w:rsidR="007253E2" w:rsidRPr="00F1313B">
        <w:rPr>
          <w:rFonts w:hAnsi="ＭＳ 明朝" w:hint="eastAsia"/>
          <w:sz w:val="21"/>
          <w:szCs w:val="21"/>
        </w:rPr>
        <w:t>試験の実施を免除することができるものとする。</w:t>
      </w:r>
      <w:r>
        <w:rPr>
          <w:rFonts w:hAnsi="ＭＳ 明朝" w:hint="eastAsia"/>
          <w:sz w:val="21"/>
          <w:szCs w:val="21"/>
        </w:rPr>
        <w:t>現場で確認すべき</w:t>
      </w:r>
      <w:r w:rsidRPr="00F1313B">
        <w:rPr>
          <w:rFonts w:hAnsi="ＭＳ 明朝" w:hint="eastAsia"/>
          <w:sz w:val="21"/>
          <w:szCs w:val="21"/>
        </w:rPr>
        <w:t>試験</w:t>
      </w:r>
      <w:r w:rsidR="007253E2" w:rsidRPr="00F1313B">
        <w:rPr>
          <w:rFonts w:hAnsi="ＭＳ 明朝" w:hint="eastAsia"/>
          <w:sz w:val="21"/>
          <w:szCs w:val="21"/>
        </w:rPr>
        <w:t>が必要となった場合、管径毎の試験とし</w:t>
      </w:r>
      <w:r w:rsidR="001153BB">
        <w:rPr>
          <w:rFonts w:hAnsi="ＭＳ 明朝" w:hint="eastAsia"/>
          <w:sz w:val="21"/>
          <w:szCs w:val="21"/>
        </w:rPr>
        <w:t>(ただし、10スパンに１回は試験を行う)</w:t>
      </w:r>
      <w:r w:rsidR="007253E2" w:rsidRPr="00F1313B">
        <w:rPr>
          <w:rFonts w:hAnsi="ＭＳ 明朝" w:hint="eastAsia"/>
          <w:sz w:val="21"/>
          <w:szCs w:val="21"/>
        </w:rPr>
        <w:t>、試験費は受注者で負担すること。</w:t>
      </w:r>
    </w:p>
    <w:p w14:paraId="3ABAFE54" w14:textId="1019153B" w:rsidR="00BE6FDA" w:rsidRDefault="009917AC" w:rsidP="00BE6FDA">
      <w:pPr>
        <w:pStyle w:val="ac"/>
        <w:spacing w:after="162"/>
      </w:pPr>
      <w:r>
        <w:rPr>
          <w:noProof/>
        </w:rPr>
        <w:drawing>
          <wp:anchor distT="0" distB="0" distL="114300" distR="114300" simplePos="0" relativeHeight="251658240" behindDoc="0" locked="0" layoutInCell="1" allowOverlap="1" wp14:anchorId="75566655" wp14:editId="7AFE754B">
            <wp:simplePos x="0" y="0"/>
            <wp:positionH relativeFrom="column">
              <wp:posOffset>814705</wp:posOffset>
            </wp:positionH>
            <wp:positionV relativeFrom="paragraph">
              <wp:posOffset>199390</wp:posOffset>
            </wp:positionV>
            <wp:extent cx="3997325" cy="3484245"/>
            <wp:effectExtent l="0" t="0" r="3175" b="1905"/>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cstate="print">
                      <a:extLst>
                        <a:ext uri="{28A0092B-C50C-407E-A947-70E740481C1C}">
                          <a14:useLocalDpi xmlns:a14="http://schemas.microsoft.com/office/drawing/2010/main" val="0"/>
                        </a:ext>
                      </a:extLst>
                    </a:blip>
                    <a:srcRect t="3516"/>
                    <a:stretch/>
                  </pic:blipFill>
                  <pic:spPr bwMode="auto">
                    <a:xfrm>
                      <a:off x="0" y="0"/>
                      <a:ext cx="3997325" cy="34842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E6FDA">
        <w:rPr>
          <w:rFonts w:hint="eastAsia"/>
        </w:rPr>
        <w:t>別表１ 現場で確認すべき試験</w:t>
      </w:r>
    </w:p>
    <w:p w14:paraId="32BBB635" w14:textId="77777777" w:rsidR="001153BB" w:rsidRDefault="001153BB" w:rsidP="00BE6FDA">
      <w:pPr>
        <w:ind w:firstLineChars="100" w:firstLine="210"/>
        <w:rPr>
          <w:color w:val="FF0000"/>
          <w:sz w:val="21"/>
          <w:szCs w:val="21"/>
        </w:rPr>
      </w:pPr>
    </w:p>
    <w:p w14:paraId="6649D2FD" w14:textId="3A0294F4" w:rsidR="001153BB" w:rsidRDefault="001153BB" w:rsidP="00BE6FDA">
      <w:pPr>
        <w:ind w:firstLineChars="100" w:firstLine="210"/>
        <w:rPr>
          <w:color w:val="FF0000"/>
          <w:sz w:val="21"/>
          <w:szCs w:val="21"/>
        </w:rPr>
      </w:pPr>
    </w:p>
    <w:p w14:paraId="3930158B" w14:textId="6AFC4442" w:rsidR="001153BB" w:rsidRDefault="001153BB" w:rsidP="001153BB">
      <w:pPr>
        <w:ind w:firstLineChars="100" w:firstLine="210"/>
        <w:rPr>
          <w:color w:val="FF0000"/>
          <w:sz w:val="21"/>
          <w:szCs w:val="21"/>
        </w:rPr>
      </w:pPr>
    </w:p>
    <w:p w14:paraId="04B742FA" w14:textId="54FACB00" w:rsidR="001153BB" w:rsidRDefault="001153BB" w:rsidP="009917AC">
      <w:pPr>
        <w:ind w:firstLineChars="100" w:firstLine="210"/>
        <w:rPr>
          <w:color w:val="FF0000"/>
          <w:sz w:val="21"/>
          <w:szCs w:val="21"/>
        </w:rPr>
      </w:pPr>
    </w:p>
    <w:p w14:paraId="05911D42" w14:textId="77777777" w:rsidR="001153BB" w:rsidRDefault="001153BB" w:rsidP="001153BB">
      <w:pPr>
        <w:ind w:firstLineChars="100" w:firstLine="210"/>
        <w:rPr>
          <w:color w:val="FF0000"/>
          <w:sz w:val="21"/>
          <w:szCs w:val="21"/>
        </w:rPr>
      </w:pPr>
    </w:p>
    <w:p w14:paraId="2B1C1570" w14:textId="77777777" w:rsidR="001153BB" w:rsidRDefault="001153BB" w:rsidP="001153BB">
      <w:pPr>
        <w:ind w:firstLineChars="100" w:firstLine="210"/>
        <w:rPr>
          <w:color w:val="FF0000"/>
          <w:sz w:val="21"/>
          <w:szCs w:val="21"/>
        </w:rPr>
      </w:pPr>
    </w:p>
    <w:p w14:paraId="6F6F46D2" w14:textId="77777777" w:rsidR="001153BB" w:rsidRDefault="001153BB" w:rsidP="001153BB">
      <w:pPr>
        <w:ind w:firstLineChars="100" w:firstLine="210"/>
        <w:rPr>
          <w:color w:val="FF0000"/>
          <w:sz w:val="21"/>
          <w:szCs w:val="21"/>
        </w:rPr>
      </w:pPr>
    </w:p>
    <w:p w14:paraId="1AFCDE07" w14:textId="77777777" w:rsidR="001153BB" w:rsidRDefault="001153BB" w:rsidP="001153BB">
      <w:pPr>
        <w:ind w:firstLineChars="100" w:firstLine="210"/>
        <w:rPr>
          <w:color w:val="FF0000"/>
          <w:sz w:val="21"/>
          <w:szCs w:val="21"/>
        </w:rPr>
      </w:pPr>
    </w:p>
    <w:p w14:paraId="71DE7035" w14:textId="77777777" w:rsidR="001153BB" w:rsidRDefault="001153BB" w:rsidP="001153BB">
      <w:pPr>
        <w:ind w:firstLineChars="100" w:firstLine="210"/>
        <w:rPr>
          <w:color w:val="FF0000"/>
          <w:sz w:val="21"/>
          <w:szCs w:val="21"/>
        </w:rPr>
      </w:pPr>
    </w:p>
    <w:p w14:paraId="7D838DE6" w14:textId="77777777" w:rsidR="001153BB" w:rsidRDefault="001153BB" w:rsidP="001153BB">
      <w:pPr>
        <w:ind w:firstLineChars="100" w:firstLine="210"/>
        <w:rPr>
          <w:color w:val="FF0000"/>
          <w:sz w:val="21"/>
          <w:szCs w:val="21"/>
        </w:rPr>
      </w:pPr>
    </w:p>
    <w:p w14:paraId="6D9C22AE" w14:textId="77777777" w:rsidR="0065003F" w:rsidRDefault="0065003F" w:rsidP="0093333A">
      <w:pPr>
        <w:rPr>
          <w:color w:val="FF0000"/>
          <w:sz w:val="21"/>
          <w:szCs w:val="21"/>
        </w:rPr>
      </w:pPr>
    </w:p>
    <w:p w14:paraId="1F666ED4" w14:textId="77777777" w:rsidR="009123DA" w:rsidRDefault="009123DA" w:rsidP="0093333A">
      <w:pPr>
        <w:rPr>
          <w:color w:val="FF0000"/>
          <w:sz w:val="21"/>
          <w:szCs w:val="21"/>
        </w:rPr>
      </w:pPr>
    </w:p>
    <w:p w14:paraId="6D748109" w14:textId="77777777" w:rsidR="009123DA" w:rsidRDefault="009123DA" w:rsidP="0093333A">
      <w:pPr>
        <w:rPr>
          <w:color w:val="FF0000"/>
          <w:sz w:val="21"/>
          <w:szCs w:val="21"/>
        </w:rPr>
      </w:pPr>
    </w:p>
    <w:p w14:paraId="434A3164" w14:textId="77777777" w:rsidR="009123DA" w:rsidRDefault="009123DA" w:rsidP="0093333A">
      <w:pPr>
        <w:rPr>
          <w:color w:val="FF0000"/>
          <w:sz w:val="21"/>
          <w:szCs w:val="21"/>
        </w:rPr>
      </w:pPr>
    </w:p>
    <w:p w14:paraId="408C985A" w14:textId="77777777" w:rsidR="009123DA" w:rsidRDefault="009123DA" w:rsidP="0093333A">
      <w:pPr>
        <w:rPr>
          <w:color w:val="FF0000"/>
          <w:sz w:val="21"/>
          <w:szCs w:val="21"/>
        </w:rPr>
      </w:pPr>
    </w:p>
    <w:p w14:paraId="413CB67B" w14:textId="77777777" w:rsidR="009123DA" w:rsidRDefault="009123DA" w:rsidP="0093333A">
      <w:pPr>
        <w:rPr>
          <w:color w:val="FF0000"/>
          <w:sz w:val="21"/>
          <w:szCs w:val="21"/>
        </w:rPr>
      </w:pPr>
    </w:p>
    <w:p w14:paraId="70B26347" w14:textId="77777777" w:rsidR="009123DA" w:rsidRDefault="009123DA" w:rsidP="0093333A">
      <w:pPr>
        <w:rPr>
          <w:color w:val="FF0000"/>
          <w:sz w:val="21"/>
          <w:szCs w:val="21"/>
        </w:rPr>
      </w:pPr>
    </w:p>
    <w:p w14:paraId="00084710" w14:textId="77777777" w:rsidR="009123DA" w:rsidRDefault="009123DA" w:rsidP="0093333A">
      <w:pPr>
        <w:rPr>
          <w:color w:val="FF0000"/>
          <w:sz w:val="21"/>
          <w:szCs w:val="21"/>
        </w:rPr>
      </w:pPr>
    </w:p>
    <w:p w14:paraId="4777309A" w14:textId="77777777" w:rsidR="009123DA" w:rsidRDefault="009123DA" w:rsidP="0093333A">
      <w:pPr>
        <w:rPr>
          <w:color w:val="FF0000"/>
          <w:sz w:val="21"/>
          <w:szCs w:val="21"/>
        </w:rPr>
      </w:pPr>
    </w:p>
    <w:p w14:paraId="19EB518B" w14:textId="77777777" w:rsidR="00E811A2" w:rsidRPr="007253E2" w:rsidRDefault="007253E2">
      <w:pPr>
        <w:rPr>
          <w:sz w:val="21"/>
          <w:szCs w:val="21"/>
        </w:rPr>
      </w:pPr>
      <w:r>
        <w:rPr>
          <w:rFonts w:ascii="ＭＳ ゴシック" w:eastAsia="ＭＳ ゴシック" w:hAnsi="ＭＳ ゴシック" w:hint="eastAsia"/>
          <w:sz w:val="21"/>
          <w:szCs w:val="21"/>
        </w:rPr>
        <w:lastRenderedPageBreak/>
        <w:t>2.4</w:t>
      </w:r>
      <w:r w:rsidR="00E811A2" w:rsidRPr="007253E2">
        <w:rPr>
          <w:rFonts w:ascii="ＭＳ ゴシック" w:eastAsia="ＭＳ ゴシック" w:hAnsi="ＭＳ ゴシック" w:hint="eastAsia"/>
          <w:sz w:val="21"/>
          <w:szCs w:val="21"/>
        </w:rPr>
        <w:t xml:space="preserve">　耐震性能</w:t>
      </w:r>
    </w:p>
    <w:p w14:paraId="73A3FD5C" w14:textId="77777777" w:rsidR="008E15EC" w:rsidRPr="008E15EC" w:rsidRDefault="00E811A2" w:rsidP="008E15EC">
      <w:pPr>
        <w:ind w:leftChars="100" w:left="220"/>
        <w:rPr>
          <w:sz w:val="21"/>
        </w:rPr>
      </w:pPr>
      <w:r w:rsidRPr="007253E2">
        <w:rPr>
          <w:rFonts w:hint="eastAsia"/>
          <w:sz w:val="21"/>
          <w:szCs w:val="21"/>
        </w:rPr>
        <w:t>更生管は下水道新技術推進機構による審査証明にて地盤変位にともなう既設管への追従性を有すると認められるもの、または地盤追従性を有すると認め</w:t>
      </w:r>
      <w:r>
        <w:rPr>
          <w:rFonts w:hint="eastAsia"/>
          <w:sz w:val="21"/>
        </w:rPr>
        <w:t>られるものとすること。</w:t>
      </w:r>
    </w:p>
    <w:p w14:paraId="753BB7A4" w14:textId="77777777" w:rsidR="00872887" w:rsidRDefault="00872887" w:rsidP="00445A7D">
      <w:pPr>
        <w:rPr>
          <w:rFonts w:ascii="ＭＳ ゴシック" w:eastAsia="ＭＳ ゴシック" w:hAnsi="ＭＳ ゴシック"/>
          <w:sz w:val="21"/>
        </w:rPr>
      </w:pPr>
    </w:p>
    <w:p w14:paraId="0F010D49" w14:textId="77777777" w:rsidR="00445A7D" w:rsidRDefault="007253E2" w:rsidP="00445A7D">
      <w:r>
        <w:rPr>
          <w:rFonts w:ascii="ＭＳ ゴシック" w:eastAsia="ＭＳ ゴシック" w:hAnsi="ＭＳ ゴシック" w:hint="eastAsia"/>
          <w:sz w:val="21"/>
        </w:rPr>
        <w:t>2.5</w:t>
      </w:r>
      <w:r w:rsidR="00445A7D">
        <w:rPr>
          <w:rFonts w:ascii="ＭＳ ゴシック" w:eastAsia="ＭＳ ゴシック" w:hAnsi="ＭＳ ゴシック" w:hint="eastAsia"/>
          <w:sz w:val="21"/>
        </w:rPr>
        <w:t xml:space="preserve">　反転・形成</w:t>
      </w:r>
    </w:p>
    <w:p w14:paraId="366762FE" w14:textId="77777777" w:rsidR="00445A7D" w:rsidRPr="00910679" w:rsidRDefault="00445A7D" w:rsidP="00910679">
      <w:pPr>
        <w:ind w:leftChars="100" w:left="325" w:hangingChars="50" w:hanging="105"/>
        <w:rPr>
          <w:sz w:val="21"/>
        </w:rPr>
      </w:pPr>
      <w:r w:rsidRPr="00910679">
        <w:rPr>
          <w:rFonts w:hint="eastAsia"/>
          <w:sz w:val="21"/>
        </w:rPr>
        <w:t>(1)反転・引込車は,更生管材の挿入工程施工に関わる専用機能車,ボイラー車,給水車,更生管材牽引装置等の機能を見込んだも</w:t>
      </w:r>
      <w:r w:rsidR="004F64A1" w:rsidRPr="00910679">
        <w:rPr>
          <w:rFonts w:hint="eastAsia"/>
          <w:sz w:val="21"/>
        </w:rPr>
        <w:t>のとすること。</w:t>
      </w:r>
    </w:p>
    <w:p w14:paraId="374D69F7" w14:textId="77777777" w:rsidR="00445A7D" w:rsidRPr="00910679" w:rsidRDefault="00445A7D" w:rsidP="00910679">
      <w:pPr>
        <w:ind w:firstLineChars="100" w:firstLine="210"/>
        <w:rPr>
          <w:sz w:val="21"/>
          <w:szCs w:val="21"/>
        </w:rPr>
      </w:pPr>
    </w:p>
    <w:p w14:paraId="2FE6EB58" w14:textId="77777777" w:rsidR="00445A7D" w:rsidRDefault="00910679" w:rsidP="00910679">
      <w:pPr>
        <w:ind w:leftChars="100" w:left="325" w:hangingChars="50" w:hanging="105"/>
        <w:rPr>
          <w:sz w:val="21"/>
        </w:rPr>
      </w:pPr>
      <w:r w:rsidRPr="00910679">
        <w:rPr>
          <w:rFonts w:hint="eastAsia"/>
          <w:sz w:val="21"/>
        </w:rPr>
        <w:t>(2</w:t>
      </w:r>
      <w:r w:rsidR="00445A7D" w:rsidRPr="00910679">
        <w:rPr>
          <w:rFonts w:hint="eastAsia"/>
          <w:sz w:val="21"/>
        </w:rPr>
        <w:t>)硬化・形成車は,</w:t>
      </w:r>
      <w:r>
        <w:rPr>
          <w:rFonts w:hint="eastAsia"/>
          <w:sz w:val="21"/>
        </w:rPr>
        <w:t>更生管材の硬化・形成工程施工に関</w:t>
      </w:r>
      <w:r w:rsidR="00445A7D" w:rsidRPr="00910679">
        <w:rPr>
          <w:rFonts w:hint="eastAsia"/>
          <w:sz w:val="21"/>
        </w:rPr>
        <w:t>わる専用機能</w:t>
      </w:r>
      <w:r w:rsidR="004F64A1" w:rsidRPr="00910679">
        <w:rPr>
          <w:rFonts w:hint="eastAsia"/>
          <w:sz w:val="21"/>
        </w:rPr>
        <w:t>車</w:t>
      </w:r>
      <w:r w:rsidR="00445A7D" w:rsidRPr="00910679">
        <w:rPr>
          <w:rFonts w:hint="eastAsia"/>
          <w:sz w:val="21"/>
        </w:rPr>
        <w:t>,ボイラー車,給水</w:t>
      </w:r>
      <w:r w:rsidR="004F64A1" w:rsidRPr="00910679">
        <w:rPr>
          <w:rFonts w:hint="eastAsia"/>
          <w:sz w:val="21"/>
        </w:rPr>
        <w:t>車</w:t>
      </w:r>
      <w:r w:rsidR="00445A7D" w:rsidRPr="00910679">
        <w:rPr>
          <w:rFonts w:hint="eastAsia"/>
          <w:sz w:val="21"/>
        </w:rPr>
        <w:t>等の機能を見込ん</w:t>
      </w:r>
      <w:r w:rsidR="004F64A1" w:rsidRPr="00910679">
        <w:rPr>
          <w:rFonts w:hint="eastAsia"/>
          <w:sz w:val="21"/>
        </w:rPr>
        <w:t>だものとすること。</w:t>
      </w:r>
    </w:p>
    <w:p w14:paraId="48DF54CD" w14:textId="77777777" w:rsidR="00366FFE" w:rsidRDefault="00366FFE" w:rsidP="00445A7D">
      <w:pPr>
        <w:rPr>
          <w:rFonts w:ascii="ＭＳ ゴシック" w:eastAsia="ＭＳ ゴシック" w:hAnsi="ＭＳ ゴシック"/>
          <w:sz w:val="21"/>
        </w:rPr>
      </w:pPr>
    </w:p>
    <w:p w14:paraId="3AC52167" w14:textId="77777777" w:rsidR="00445A7D" w:rsidRPr="00B86CC5" w:rsidRDefault="00C0626F" w:rsidP="00445A7D">
      <w:pPr>
        <w:rPr>
          <w:rFonts w:ascii="ＭＳ ゴシック" w:eastAsia="ＭＳ ゴシック" w:hAnsi="ＭＳ ゴシック"/>
          <w:sz w:val="21"/>
        </w:rPr>
      </w:pPr>
      <w:r>
        <w:rPr>
          <w:rFonts w:ascii="ＭＳ ゴシック" w:eastAsia="ＭＳ ゴシック" w:hAnsi="ＭＳ ゴシック" w:hint="eastAsia"/>
          <w:sz w:val="21"/>
        </w:rPr>
        <w:t>3.</w:t>
      </w:r>
      <w:r w:rsidR="00C65136" w:rsidRPr="00B86CC5">
        <w:rPr>
          <w:rFonts w:ascii="ＭＳ ゴシック" w:eastAsia="ＭＳ ゴシック" w:hAnsi="ＭＳ ゴシック" w:hint="eastAsia"/>
          <w:sz w:val="21"/>
        </w:rPr>
        <w:t xml:space="preserve">　現場調査</w:t>
      </w:r>
    </w:p>
    <w:p w14:paraId="379F3998" w14:textId="77777777" w:rsidR="00445A7D" w:rsidRDefault="00C65136" w:rsidP="00C65136">
      <w:pPr>
        <w:rPr>
          <w:sz w:val="21"/>
          <w:szCs w:val="21"/>
        </w:rPr>
      </w:pPr>
      <w:r w:rsidRPr="00C65136">
        <w:rPr>
          <w:rFonts w:hint="eastAsia"/>
          <w:sz w:val="21"/>
          <w:szCs w:val="21"/>
        </w:rPr>
        <w:t xml:space="preserve">　マンホール、取付管</w:t>
      </w:r>
      <w:r>
        <w:rPr>
          <w:rFonts w:hint="eastAsia"/>
          <w:sz w:val="21"/>
          <w:szCs w:val="21"/>
        </w:rPr>
        <w:t>、流量</w:t>
      </w:r>
      <w:r w:rsidRPr="00C65136">
        <w:rPr>
          <w:rFonts w:hint="eastAsia"/>
          <w:sz w:val="21"/>
          <w:szCs w:val="21"/>
        </w:rPr>
        <w:t>の事前調査を行い、施工方法、水替えについて現状に合わせた方法を検討し施工すること。</w:t>
      </w:r>
      <w:r w:rsidR="00A44258">
        <w:rPr>
          <w:rFonts w:hint="eastAsia"/>
          <w:sz w:val="21"/>
          <w:szCs w:val="21"/>
        </w:rPr>
        <w:t>開削部について支障になりうる埋設物が存在する場合は試掘を行い、調査を行うこと。</w:t>
      </w:r>
    </w:p>
    <w:p w14:paraId="72715980" w14:textId="77777777" w:rsidR="006C57BF" w:rsidRDefault="006C57BF" w:rsidP="00C65136">
      <w:pPr>
        <w:rPr>
          <w:sz w:val="21"/>
          <w:szCs w:val="21"/>
        </w:rPr>
      </w:pPr>
    </w:p>
    <w:p w14:paraId="0183892D" w14:textId="77777777" w:rsidR="00BD5503" w:rsidRPr="000C64A3" w:rsidRDefault="00C0626F" w:rsidP="00C65136">
      <w:pPr>
        <w:rPr>
          <w:rFonts w:ascii="ＭＳ ゴシック" w:eastAsia="ＭＳ ゴシック" w:hAnsi="ＭＳ ゴシック"/>
          <w:sz w:val="21"/>
        </w:rPr>
      </w:pPr>
      <w:r w:rsidRPr="000C64A3">
        <w:rPr>
          <w:rFonts w:ascii="ＭＳ ゴシック" w:eastAsia="ＭＳ ゴシック" w:hAnsi="ＭＳ ゴシック" w:hint="eastAsia"/>
          <w:sz w:val="21"/>
        </w:rPr>
        <w:t>4.</w:t>
      </w:r>
      <w:r w:rsidR="00BD5503" w:rsidRPr="000C64A3">
        <w:rPr>
          <w:rFonts w:ascii="ＭＳ ゴシック" w:eastAsia="ＭＳ ゴシック" w:hAnsi="ＭＳ ゴシック" w:hint="eastAsia"/>
          <w:sz w:val="21"/>
        </w:rPr>
        <w:t xml:space="preserve">　前処理工について</w:t>
      </w:r>
    </w:p>
    <w:p w14:paraId="2E3238A0" w14:textId="77777777" w:rsidR="00BD5503" w:rsidRPr="00F1313B" w:rsidRDefault="00BD5503" w:rsidP="00C65136">
      <w:pPr>
        <w:rPr>
          <w:sz w:val="21"/>
          <w:szCs w:val="21"/>
        </w:rPr>
      </w:pPr>
      <w:r w:rsidRPr="00F1313B">
        <w:rPr>
          <w:rFonts w:hint="eastAsia"/>
          <w:sz w:val="21"/>
          <w:szCs w:val="21"/>
        </w:rPr>
        <w:t xml:space="preserve">　施工前管渠内調査を行った結果を発注者に施工前に報告すること。その結果、事前処理工の数量に変更が生じた場合、協議</w:t>
      </w:r>
      <w:r w:rsidR="007253E2" w:rsidRPr="00F1313B">
        <w:rPr>
          <w:rFonts w:hint="eastAsia"/>
          <w:sz w:val="21"/>
          <w:szCs w:val="21"/>
        </w:rPr>
        <w:t>を行い</w:t>
      </w:r>
      <w:r w:rsidRPr="00F1313B">
        <w:rPr>
          <w:rFonts w:hint="eastAsia"/>
          <w:sz w:val="21"/>
          <w:szCs w:val="21"/>
        </w:rPr>
        <w:t>、</w:t>
      </w:r>
      <w:r w:rsidR="007253E2" w:rsidRPr="00F1313B">
        <w:rPr>
          <w:rFonts w:hint="eastAsia"/>
          <w:sz w:val="21"/>
          <w:szCs w:val="21"/>
        </w:rPr>
        <w:t>必要と認められた場合は</w:t>
      </w:r>
      <w:r w:rsidRPr="00F1313B">
        <w:rPr>
          <w:rFonts w:hint="eastAsia"/>
          <w:sz w:val="21"/>
          <w:szCs w:val="21"/>
        </w:rPr>
        <w:t>契約変更の対象とする。</w:t>
      </w:r>
      <w:r w:rsidR="007253E2" w:rsidRPr="00F1313B">
        <w:rPr>
          <w:rFonts w:hint="eastAsia"/>
          <w:sz w:val="21"/>
          <w:szCs w:val="21"/>
        </w:rPr>
        <w:t>工法の特性上、止水工を施工しない場合には、契約変更で減額変更の対象とする。</w:t>
      </w:r>
    </w:p>
    <w:p w14:paraId="57B30B38" w14:textId="77777777" w:rsidR="00BD5503" w:rsidRPr="00BD5503" w:rsidRDefault="00BD5503" w:rsidP="00C65136">
      <w:pPr>
        <w:rPr>
          <w:sz w:val="21"/>
          <w:szCs w:val="21"/>
        </w:rPr>
      </w:pPr>
    </w:p>
    <w:p w14:paraId="0AC2586C" w14:textId="77777777" w:rsidR="00F47BAD" w:rsidRPr="00B86CC5" w:rsidRDefault="00C0626F" w:rsidP="00C65136">
      <w:pPr>
        <w:rPr>
          <w:rFonts w:ascii="ＭＳ ゴシック" w:eastAsia="ＭＳ ゴシック" w:hAnsi="ＭＳ ゴシック"/>
          <w:sz w:val="21"/>
        </w:rPr>
      </w:pPr>
      <w:r>
        <w:rPr>
          <w:rFonts w:ascii="ＭＳ ゴシック" w:eastAsia="ＭＳ ゴシック" w:hAnsi="ＭＳ ゴシック" w:hint="eastAsia"/>
          <w:sz w:val="21"/>
        </w:rPr>
        <w:t>5.</w:t>
      </w:r>
      <w:r w:rsidR="00F47BAD" w:rsidRPr="00B86CC5">
        <w:rPr>
          <w:rFonts w:ascii="ＭＳ ゴシック" w:eastAsia="ＭＳ ゴシック" w:hAnsi="ＭＳ ゴシック" w:hint="eastAsia"/>
          <w:sz w:val="21"/>
        </w:rPr>
        <w:t xml:space="preserve">　完成検査</w:t>
      </w:r>
    </w:p>
    <w:p w14:paraId="5CC6E6C6" w14:textId="77777777" w:rsidR="00F47BAD" w:rsidRDefault="00F47BAD" w:rsidP="00C65136">
      <w:pPr>
        <w:rPr>
          <w:sz w:val="21"/>
          <w:szCs w:val="21"/>
        </w:rPr>
      </w:pPr>
      <w:r>
        <w:rPr>
          <w:rFonts w:hint="eastAsia"/>
          <w:sz w:val="21"/>
          <w:szCs w:val="21"/>
        </w:rPr>
        <w:t xml:space="preserve">　更生施工箇所についてはＴＶカメラを用いた検査を現場にて受けること。検査に要する費用は受注者にて支払うこと。</w:t>
      </w:r>
    </w:p>
    <w:p w14:paraId="559014F7" w14:textId="77777777" w:rsidR="00C0626F" w:rsidRDefault="00C0626F" w:rsidP="00C65136">
      <w:pPr>
        <w:rPr>
          <w:sz w:val="21"/>
          <w:szCs w:val="21"/>
        </w:rPr>
      </w:pPr>
    </w:p>
    <w:p w14:paraId="13813C2C" w14:textId="77777777" w:rsidR="00F47BAD" w:rsidRPr="00B86CC5" w:rsidRDefault="00C0626F" w:rsidP="00C65136">
      <w:pPr>
        <w:rPr>
          <w:rFonts w:ascii="ＭＳ ゴシック" w:eastAsia="ＭＳ ゴシック" w:hAnsi="ＭＳ ゴシック"/>
          <w:sz w:val="21"/>
        </w:rPr>
      </w:pPr>
      <w:r>
        <w:rPr>
          <w:rFonts w:ascii="ＭＳ ゴシック" w:eastAsia="ＭＳ ゴシック" w:hAnsi="ＭＳ ゴシック" w:hint="eastAsia"/>
          <w:sz w:val="21"/>
        </w:rPr>
        <w:t>6.</w:t>
      </w:r>
      <w:r w:rsidR="00F47BAD" w:rsidRPr="00B86CC5">
        <w:rPr>
          <w:rFonts w:ascii="ＭＳ ゴシック" w:eastAsia="ＭＳ ゴシック" w:hAnsi="ＭＳ ゴシック" w:hint="eastAsia"/>
          <w:sz w:val="21"/>
        </w:rPr>
        <w:t xml:space="preserve">　成果品</w:t>
      </w:r>
    </w:p>
    <w:p w14:paraId="5FEE21CC" w14:textId="77777777" w:rsidR="00F47BAD" w:rsidRDefault="00F47BAD" w:rsidP="00C65136">
      <w:pPr>
        <w:rPr>
          <w:sz w:val="21"/>
          <w:szCs w:val="21"/>
        </w:rPr>
      </w:pPr>
      <w:r>
        <w:rPr>
          <w:rFonts w:hint="eastAsia"/>
          <w:sz w:val="21"/>
          <w:szCs w:val="21"/>
        </w:rPr>
        <w:t xml:space="preserve">　完成した管渠部、取付管の状況を動画</w:t>
      </w:r>
      <w:r w:rsidR="00284B7D">
        <w:rPr>
          <w:rFonts w:hint="eastAsia"/>
          <w:sz w:val="21"/>
          <w:szCs w:val="21"/>
        </w:rPr>
        <w:t>で記録し、</w:t>
      </w:r>
      <w:r w:rsidR="00B86CC5">
        <w:rPr>
          <w:rFonts w:hint="eastAsia"/>
          <w:sz w:val="21"/>
          <w:szCs w:val="21"/>
        </w:rPr>
        <w:t>本管ＩＤが分かるように整理した</w:t>
      </w:r>
      <w:r>
        <w:rPr>
          <w:rFonts w:hint="eastAsia"/>
          <w:sz w:val="21"/>
          <w:szCs w:val="21"/>
        </w:rPr>
        <w:t>ＤＶＤ</w:t>
      </w:r>
      <w:r w:rsidR="00B86CC5">
        <w:rPr>
          <w:rFonts w:hint="eastAsia"/>
          <w:sz w:val="21"/>
          <w:szCs w:val="21"/>
        </w:rPr>
        <w:t>を</w:t>
      </w:r>
      <w:r>
        <w:rPr>
          <w:rFonts w:hint="eastAsia"/>
          <w:sz w:val="21"/>
          <w:szCs w:val="21"/>
        </w:rPr>
        <w:t>提出すること。</w:t>
      </w:r>
    </w:p>
    <w:p w14:paraId="4D9389B1" w14:textId="77777777" w:rsidR="009C6B7F" w:rsidRDefault="009C6B7F" w:rsidP="00C65136">
      <w:pPr>
        <w:rPr>
          <w:sz w:val="21"/>
          <w:szCs w:val="21"/>
        </w:rPr>
      </w:pPr>
    </w:p>
    <w:p w14:paraId="30162B6F" w14:textId="77777777" w:rsidR="00481754" w:rsidRPr="009C6B7F" w:rsidRDefault="00C0626F" w:rsidP="00481754">
      <w:pPr>
        <w:rPr>
          <w:rFonts w:ascii="ＭＳ ゴシック" w:eastAsia="ＭＳ ゴシック" w:hAnsi="ＭＳ ゴシック"/>
          <w:sz w:val="21"/>
        </w:rPr>
      </w:pPr>
      <w:r>
        <w:rPr>
          <w:rFonts w:ascii="ＭＳ ゴシック" w:eastAsia="ＭＳ ゴシック" w:hAnsi="ＭＳ ゴシック" w:hint="eastAsia"/>
          <w:sz w:val="21"/>
        </w:rPr>
        <w:t>7.</w:t>
      </w:r>
      <w:r w:rsidR="00481754" w:rsidRPr="009C6B7F">
        <w:rPr>
          <w:rFonts w:ascii="ＭＳ ゴシック" w:eastAsia="ＭＳ ゴシック" w:hAnsi="ＭＳ ゴシック" w:hint="eastAsia"/>
          <w:sz w:val="21"/>
        </w:rPr>
        <w:t xml:space="preserve">　通行規制について</w:t>
      </w:r>
    </w:p>
    <w:p w14:paraId="5D8D1CE3" w14:textId="77777777" w:rsidR="00481754" w:rsidRPr="00F47BAD" w:rsidRDefault="00481754" w:rsidP="00481754">
      <w:pPr>
        <w:rPr>
          <w:sz w:val="21"/>
          <w:szCs w:val="21"/>
        </w:rPr>
      </w:pPr>
      <w:r>
        <w:rPr>
          <w:rFonts w:hint="eastAsia"/>
          <w:sz w:val="21"/>
          <w:szCs w:val="21"/>
        </w:rPr>
        <w:t xml:space="preserve">　通行規制を行う場合には関係機関と日程調整を行い、申請が必要な場合は</w:t>
      </w:r>
      <w:r w:rsidR="00B60BBF">
        <w:rPr>
          <w:rFonts w:hint="eastAsia"/>
          <w:sz w:val="21"/>
          <w:szCs w:val="21"/>
        </w:rPr>
        <w:t>受注者で</w:t>
      </w:r>
      <w:r>
        <w:rPr>
          <w:rFonts w:hint="eastAsia"/>
          <w:sz w:val="21"/>
          <w:szCs w:val="21"/>
        </w:rPr>
        <w:t>行うこと。</w:t>
      </w:r>
      <w:r w:rsidR="00B60BBF">
        <w:rPr>
          <w:rFonts w:hint="eastAsia"/>
          <w:sz w:val="21"/>
          <w:szCs w:val="21"/>
        </w:rPr>
        <w:t>受注者が</w:t>
      </w:r>
      <w:r>
        <w:rPr>
          <w:rFonts w:hint="eastAsia"/>
          <w:sz w:val="21"/>
          <w:szCs w:val="21"/>
        </w:rPr>
        <w:t>地元への周知を</w:t>
      </w:r>
      <w:r w:rsidR="00B60BBF">
        <w:rPr>
          <w:rFonts w:hint="eastAsia"/>
          <w:sz w:val="21"/>
          <w:szCs w:val="21"/>
        </w:rPr>
        <w:t>行い</w:t>
      </w:r>
      <w:r>
        <w:rPr>
          <w:rFonts w:hint="eastAsia"/>
          <w:sz w:val="21"/>
          <w:szCs w:val="21"/>
        </w:rPr>
        <w:t>、施工路線沿いの住民へは個別に詳細な工程表・工事説明書を配布し</w:t>
      </w:r>
      <w:r w:rsidR="00B60BBF">
        <w:rPr>
          <w:rFonts w:hint="eastAsia"/>
          <w:sz w:val="21"/>
          <w:szCs w:val="21"/>
        </w:rPr>
        <w:t>規制の</w:t>
      </w:r>
      <w:r>
        <w:rPr>
          <w:rFonts w:hint="eastAsia"/>
          <w:sz w:val="21"/>
          <w:szCs w:val="21"/>
        </w:rPr>
        <w:t>協力が得られるよう努めること。歩行者の通行に関して歩行者マットや矢印などで通行者にわかりやすく明示すること。重機や関係車両、マンホール開口部は柵などで囲い、関係者以外が侵入しないようにすること。</w:t>
      </w:r>
      <w:r w:rsidR="00B60BBF">
        <w:rPr>
          <w:rFonts w:hint="eastAsia"/>
          <w:sz w:val="21"/>
          <w:szCs w:val="21"/>
        </w:rPr>
        <w:t>規制看板設置位置には十分注意し、住民に負担がかからない場所をよく選定し、わかりやすい看板に努めること。</w:t>
      </w:r>
    </w:p>
    <w:p w14:paraId="099A08F5" w14:textId="21B7D129" w:rsidR="00481754" w:rsidRDefault="00B60BBF" w:rsidP="002C7F46">
      <w:pPr>
        <w:ind w:firstLineChars="100" w:firstLine="210"/>
        <w:rPr>
          <w:sz w:val="21"/>
          <w:szCs w:val="21"/>
        </w:rPr>
      </w:pPr>
      <w:r>
        <w:rPr>
          <w:rFonts w:hint="eastAsia"/>
          <w:sz w:val="21"/>
          <w:szCs w:val="21"/>
        </w:rPr>
        <w:t>地下水の流れにより浸入水の量、位置が変化することがあるため、余裕をもった工程を組み、無理な規制を行うことがないよう努めること。</w:t>
      </w:r>
    </w:p>
    <w:p w14:paraId="6D917E13" w14:textId="77777777" w:rsidR="00A71C7B" w:rsidRDefault="00A71C7B" w:rsidP="002C7F46">
      <w:pPr>
        <w:ind w:firstLineChars="100" w:firstLine="210"/>
        <w:rPr>
          <w:sz w:val="21"/>
          <w:szCs w:val="21"/>
        </w:rPr>
      </w:pPr>
    </w:p>
    <w:p w14:paraId="673A781C" w14:textId="77777777" w:rsidR="00A71C7B" w:rsidRPr="009C6B7F" w:rsidRDefault="00A71C7B" w:rsidP="00A71C7B">
      <w:pPr>
        <w:rPr>
          <w:rFonts w:ascii="ＭＳ ゴシック" w:eastAsia="ＭＳ ゴシック" w:hAnsi="ＭＳ ゴシック"/>
          <w:sz w:val="21"/>
        </w:rPr>
      </w:pPr>
      <w:r>
        <w:rPr>
          <w:rFonts w:ascii="ＭＳ ゴシック" w:eastAsia="ＭＳ ゴシック" w:hAnsi="ＭＳ ゴシック" w:hint="eastAsia"/>
          <w:sz w:val="21"/>
        </w:rPr>
        <w:lastRenderedPageBreak/>
        <w:t>8.</w:t>
      </w:r>
      <w:r w:rsidRPr="009C6B7F">
        <w:rPr>
          <w:rFonts w:ascii="ＭＳ ゴシック" w:eastAsia="ＭＳ ゴシック" w:hAnsi="ＭＳ ゴシック" w:hint="eastAsia"/>
          <w:sz w:val="21"/>
        </w:rPr>
        <w:t xml:space="preserve">　</w:t>
      </w:r>
      <w:r>
        <w:rPr>
          <w:rFonts w:ascii="ＭＳ ゴシック" w:eastAsia="ＭＳ ゴシック" w:hAnsi="ＭＳ ゴシック" w:hint="eastAsia"/>
          <w:sz w:val="21"/>
        </w:rPr>
        <w:t>酸素欠乏症等の防止</w:t>
      </w:r>
      <w:r w:rsidRPr="009C6B7F">
        <w:rPr>
          <w:rFonts w:ascii="ＭＳ ゴシック" w:eastAsia="ＭＳ ゴシック" w:hAnsi="ＭＳ ゴシック" w:hint="eastAsia"/>
          <w:sz w:val="21"/>
        </w:rPr>
        <w:t>について</w:t>
      </w:r>
    </w:p>
    <w:p w14:paraId="491EBA1D" w14:textId="77777777" w:rsidR="00A71C7B" w:rsidRPr="003D5443" w:rsidRDefault="00A71C7B" w:rsidP="00A71C7B">
      <w:pPr>
        <w:rPr>
          <w:sz w:val="21"/>
          <w:szCs w:val="21"/>
        </w:rPr>
      </w:pPr>
      <w:r>
        <w:rPr>
          <w:rFonts w:hint="eastAsia"/>
          <w:sz w:val="21"/>
          <w:szCs w:val="21"/>
        </w:rPr>
        <w:t xml:space="preserve">　</w:t>
      </w:r>
      <w:r>
        <w:rPr>
          <w:rFonts w:hint="eastAsia"/>
        </w:rPr>
        <w:t>受注者は、酸素欠乏症等防止規則に基づき施工するものとする。また、施工計画書に必要な防止措置等について明記すること。</w:t>
      </w:r>
    </w:p>
    <w:p w14:paraId="3D0E4359" w14:textId="77777777" w:rsidR="00A71C7B" w:rsidRPr="00A71C7B" w:rsidRDefault="00A71C7B" w:rsidP="002C7F46">
      <w:pPr>
        <w:ind w:firstLineChars="100" w:firstLine="210"/>
        <w:rPr>
          <w:rFonts w:hint="eastAsia"/>
          <w:sz w:val="21"/>
          <w:szCs w:val="21"/>
        </w:rPr>
      </w:pPr>
    </w:p>
    <w:sectPr w:rsidR="00A71C7B" w:rsidRPr="00A71C7B" w:rsidSect="009C6B7F">
      <w:type w:val="continuous"/>
      <w:pgSz w:w="11906" w:h="16838" w:code="9"/>
      <w:pgMar w:top="1134" w:right="1701" w:bottom="1418" w:left="1701" w:header="567" w:footer="567" w:gutter="0"/>
      <w:pgNumType w:start="0"/>
      <w:cols w:space="425"/>
      <w:titlePg/>
      <w:docGrid w:type="line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C7D261" w14:textId="77777777" w:rsidR="00B55A01" w:rsidRDefault="00B55A01">
      <w:r>
        <w:separator/>
      </w:r>
    </w:p>
  </w:endnote>
  <w:endnote w:type="continuationSeparator" w:id="0">
    <w:p w14:paraId="23040E99" w14:textId="77777777" w:rsidR="00B55A01" w:rsidRDefault="00B55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641D9" w14:textId="77777777" w:rsidR="007253E2" w:rsidRDefault="007253E2">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8491BD1" w14:textId="77777777" w:rsidR="007253E2" w:rsidRDefault="007253E2">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39603" w14:textId="77777777" w:rsidR="007253E2" w:rsidRDefault="007253E2">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915E4F" w14:textId="77777777" w:rsidR="007253E2" w:rsidRDefault="007253E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AAB238" w14:textId="77777777" w:rsidR="00B55A01" w:rsidRDefault="00B55A01">
      <w:r>
        <w:separator/>
      </w:r>
    </w:p>
  </w:footnote>
  <w:footnote w:type="continuationSeparator" w:id="0">
    <w:p w14:paraId="7D531413" w14:textId="77777777" w:rsidR="00B55A01" w:rsidRDefault="00B55A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A969C2" w14:textId="77777777" w:rsidR="007253E2" w:rsidRDefault="007253E2">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FEDA7B" w14:textId="77777777" w:rsidR="007253E2" w:rsidRDefault="007253E2">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34E36C" w14:textId="77777777" w:rsidR="007253E2" w:rsidRDefault="007253E2">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95166F"/>
    <w:multiLevelType w:val="hybridMultilevel"/>
    <w:tmpl w:val="C2D4C248"/>
    <w:lvl w:ilvl="0" w:tplc="0AC45F4E">
      <w:start w:val="1"/>
      <w:numFmt w:val="decimal"/>
      <w:lvlText w:val="(%1)"/>
      <w:lvlJc w:val="left"/>
      <w:pPr>
        <w:tabs>
          <w:tab w:val="num" w:pos="580"/>
        </w:tabs>
        <w:ind w:left="580" w:hanging="360"/>
      </w:pPr>
      <w:rPr>
        <w:rFonts w:hint="eastAsia"/>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1" w15:restartNumberingAfterBreak="0">
    <w:nsid w:val="3380749E"/>
    <w:multiLevelType w:val="hybridMultilevel"/>
    <w:tmpl w:val="30069C80"/>
    <w:lvl w:ilvl="0" w:tplc="CC8CB812">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4ADA4461"/>
    <w:multiLevelType w:val="hybridMultilevel"/>
    <w:tmpl w:val="5B427538"/>
    <w:lvl w:ilvl="0" w:tplc="73A85146">
      <w:start w:val="4"/>
      <w:numFmt w:val="bullet"/>
      <w:lvlText w:val="・"/>
      <w:lvlJc w:val="left"/>
      <w:pPr>
        <w:tabs>
          <w:tab w:val="num" w:pos="1020"/>
        </w:tabs>
        <w:ind w:left="1020" w:hanging="360"/>
      </w:pPr>
      <w:rPr>
        <w:rFonts w:ascii="ＭＳ 明朝" w:eastAsia="ＭＳ 明朝" w:hAnsi="ＭＳ 明朝" w:cs="Times New Roman" w:hint="eastAsia"/>
      </w:rPr>
    </w:lvl>
    <w:lvl w:ilvl="1" w:tplc="0409000B" w:tentative="1">
      <w:start w:val="1"/>
      <w:numFmt w:val="bullet"/>
      <w:lvlText w:val=""/>
      <w:lvlJc w:val="left"/>
      <w:pPr>
        <w:tabs>
          <w:tab w:val="num" w:pos="1500"/>
        </w:tabs>
        <w:ind w:left="1500" w:hanging="420"/>
      </w:pPr>
      <w:rPr>
        <w:rFonts w:ascii="Wingdings" w:hAnsi="Wingdings" w:hint="default"/>
      </w:rPr>
    </w:lvl>
    <w:lvl w:ilvl="2" w:tplc="0409000D" w:tentative="1">
      <w:start w:val="1"/>
      <w:numFmt w:val="bullet"/>
      <w:lvlText w:val=""/>
      <w:lvlJc w:val="left"/>
      <w:pPr>
        <w:tabs>
          <w:tab w:val="num" w:pos="1920"/>
        </w:tabs>
        <w:ind w:left="1920" w:hanging="420"/>
      </w:pPr>
      <w:rPr>
        <w:rFonts w:ascii="Wingdings" w:hAnsi="Wingdings" w:hint="default"/>
      </w:rPr>
    </w:lvl>
    <w:lvl w:ilvl="3" w:tplc="04090001" w:tentative="1">
      <w:start w:val="1"/>
      <w:numFmt w:val="bullet"/>
      <w:lvlText w:val=""/>
      <w:lvlJc w:val="left"/>
      <w:pPr>
        <w:tabs>
          <w:tab w:val="num" w:pos="2340"/>
        </w:tabs>
        <w:ind w:left="2340" w:hanging="420"/>
      </w:pPr>
      <w:rPr>
        <w:rFonts w:ascii="Wingdings" w:hAnsi="Wingdings" w:hint="default"/>
      </w:rPr>
    </w:lvl>
    <w:lvl w:ilvl="4" w:tplc="0409000B" w:tentative="1">
      <w:start w:val="1"/>
      <w:numFmt w:val="bullet"/>
      <w:lvlText w:val=""/>
      <w:lvlJc w:val="left"/>
      <w:pPr>
        <w:tabs>
          <w:tab w:val="num" w:pos="2760"/>
        </w:tabs>
        <w:ind w:left="2760" w:hanging="420"/>
      </w:pPr>
      <w:rPr>
        <w:rFonts w:ascii="Wingdings" w:hAnsi="Wingdings" w:hint="default"/>
      </w:rPr>
    </w:lvl>
    <w:lvl w:ilvl="5" w:tplc="0409000D" w:tentative="1">
      <w:start w:val="1"/>
      <w:numFmt w:val="bullet"/>
      <w:lvlText w:val=""/>
      <w:lvlJc w:val="left"/>
      <w:pPr>
        <w:tabs>
          <w:tab w:val="num" w:pos="3180"/>
        </w:tabs>
        <w:ind w:left="3180" w:hanging="420"/>
      </w:pPr>
      <w:rPr>
        <w:rFonts w:ascii="Wingdings" w:hAnsi="Wingdings" w:hint="default"/>
      </w:rPr>
    </w:lvl>
    <w:lvl w:ilvl="6" w:tplc="04090001" w:tentative="1">
      <w:start w:val="1"/>
      <w:numFmt w:val="bullet"/>
      <w:lvlText w:val=""/>
      <w:lvlJc w:val="left"/>
      <w:pPr>
        <w:tabs>
          <w:tab w:val="num" w:pos="3600"/>
        </w:tabs>
        <w:ind w:left="3600" w:hanging="420"/>
      </w:pPr>
      <w:rPr>
        <w:rFonts w:ascii="Wingdings" w:hAnsi="Wingdings" w:hint="default"/>
      </w:rPr>
    </w:lvl>
    <w:lvl w:ilvl="7" w:tplc="0409000B" w:tentative="1">
      <w:start w:val="1"/>
      <w:numFmt w:val="bullet"/>
      <w:lvlText w:val=""/>
      <w:lvlJc w:val="left"/>
      <w:pPr>
        <w:tabs>
          <w:tab w:val="num" w:pos="4020"/>
        </w:tabs>
        <w:ind w:left="4020" w:hanging="420"/>
      </w:pPr>
      <w:rPr>
        <w:rFonts w:ascii="Wingdings" w:hAnsi="Wingdings" w:hint="default"/>
      </w:rPr>
    </w:lvl>
    <w:lvl w:ilvl="8" w:tplc="0409000D" w:tentative="1">
      <w:start w:val="1"/>
      <w:numFmt w:val="bullet"/>
      <w:lvlText w:val=""/>
      <w:lvlJc w:val="left"/>
      <w:pPr>
        <w:tabs>
          <w:tab w:val="num" w:pos="4440"/>
        </w:tabs>
        <w:ind w:left="4440" w:hanging="420"/>
      </w:pPr>
      <w:rPr>
        <w:rFonts w:ascii="Wingdings" w:hAnsi="Wingdings" w:hint="default"/>
      </w:rPr>
    </w:lvl>
  </w:abstractNum>
  <w:abstractNum w:abstractNumId="3" w15:restartNumberingAfterBreak="0">
    <w:nsid w:val="605B3C64"/>
    <w:multiLevelType w:val="hybridMultilevel"/>
    <w:tmpl w:val="D1D69D78"/>
    <w:lvl w:ilvl="0" w:tplc="0A303EF6">
      <w:start w:val="1"/>
      <w:numFmt w:val="decimalEnclosedCircle"/>
      <w:lvlText w:val="%1"/>
      <w:lvlJc w:val="left"/>
      <w:pPr>
        <w:tabs>
          <w:tab w:val="num" w:pos="1062"/>
        </w:tabs>
        <w:ind w:left="1062" w:hanging="360"/>
      </w:pPr>
      <w:rPr>
        <w:rFonts w:hint="default"/>
      </w:rPr>
    </w:lvl>
    <w:lvl w:ilvl="1" w:tplc="04090017" w:tentative="1">
      <w:start w:val="1"/>
      <w:numFmt w:val="aiueoFullWidth"/>
      <w:lvlText w:val="(%2)"/>
      <w:lvlJc w:val="left"/>
      <w:pPr>
        <w:tabs>
          <w:tab w:val="num" w:pos="1542"/>
        </w:tabs>
        <w:ind w:left="1542" w:hanging="420"/>
      </w:pPr>
    </w:lvl>
    <w:lvl w:ilvl="2" w:tplc="04090011" w:tentative="1">
      <w:start w:val="1"/>
      <w:numFmt w:val="decimalEnclosedCircle"/>
      <w:lvlText w:val="%3"/>
      <w:lvlJc w:val="left"/>
      <w:pPr>
        <w:tabs>
          <w:tab w:val="num" w:pos="1962"/>
        </w:tabs>
        <w:ind w:left="1962" w:hanging="420"/>
      </w:pPr>
    </w:lvl>
    <w:lvl w:ilvl="3" w:tplc="0409000F" w:tentative="1">
      <w:start w:val="1"/>
      <w:numFmt w:val="decimal"/>
      <w:lvlText w:val="%4."/>
      <w:lvlJc w:val="left"/>
      <w:pPr>
        <w:tabs>
          <w:tab w:val="num" w:pos="2382"/>
        </w:tabs>
        <w:ind w:left="2382" w:hanging="420"/>
      </w:pPr>
    </w:lvl>
    <w:lvl w:ilvl="4" w:tplc="04090017" w:tentative="1">
      <w:start w:val="1"/>
      <w:numFmt w:val="aiueoFullWidth"/>
      <w:lvlText w:val="(%5)"/>
      <w:lvlJc w:val="left"/>
      <w:pPr>
        <w:tabs>
          <w:tab w:val="num" w:pos="2802"/>
        </w:tabs>
        <w:ind w:left="2802" w:hanging="420"/>
      </w:pPr>
    </w:lvl>
    <w:lvl w:ilvl="5" w:tplc="04090011" w:tentative="1">
      <w:start w:val="1"/>
      <w:numFmt w:val="decimalEnclosedCircle"/>
      <w:lvlText w:val="%6"/>
      <w:lvlJc w:val="left"/>
      <w:pPr>
        <w:tabs>
          <w:tab w:val="num" w:pos="3222"/>
        </w:tabs>
        <w:ind w:left="3222" w:hanging="420"/>
      </w:pPr>
    </w:lvl>
    <w:lvl w:ilvl="6" w:tplc="0409000F" w:tentative="1">
      <w:start w:val="1"/>
      <w:numFmt w:val="decimal"/>
      <w:lvlText w:val="%7."/>
      <w:lvlJc w:val="left"/>
      <w:pPr>
        <w:tabs>
          <w:tab w:val="num" w:pos="3642"/>
        </w:tabs>
        <w:ind w:left="3642" w:hanging="420"/>
      </w:pPr>
    </w:lvl>
    <w:lvl w:ilvl="7" w:tplc="04090017" w:tentative="1">
      <w:start w:val="1"/>
      <w:numFmt w:val="aiueoFullWidth"/>
      <w:lvlText w:val="(%8)"/>
      <w:lvlJc w:val="left"/>
      <w:pPr>
        <w:tabs>
          <w:tab w:val="num" w:pos="4062"/>
        </w:tabs>
        <w:ind w:left="4062" w:hanging="420"/>
      </w:pPr>
    </w:lvl>
    <w:lvl w:ilvl="8" w:tplc="04090011" w:tentative="1">
      <w:start w:val="1"/>
      <w:numFmt w:val="decimalEnclosedCircle"/>
      <w:lvlText w:val="%9"/>
      <w:lvlJc w:val="left"/>
      <w:pPr>
        <w:tabs>
          <w:tab w:val="num" w:pos="4482"/>
        </w:tabs>
        <w:ind w:left="4482" w:hanging="420"/>
      </w:pPr>
    </w:lvl>
  </w:abstractNum>
  <w:num w:numId="1" w16cid:durableId="640421786">
    <w:abstractNumId w:val="2"/>
  </w:num>
  <w:num w:numId="2" w16cid:durableId="119421199">
    <w:abstractNumId w:val="0"/>
  </w:num>
  <w:num w:numId="3" w16cid:durableId="562757987">
    <w:abstractNumId w:val="3"/>
  </w:num>
  <w:num w:numId="4" w16cid:durableId="20601328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51"/>
  <w:drawingGridHorizontalSpacing w:val="101"/>
  <w:drawingGridVerticalSpacing w:val="303"/>
  <w:displayHorizontalDrawingGridEvery w:val="0"/>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F64"/>
    <w:rsid w:val="0000371E"/>
    <w:rsid w:val="000079E7"/>
    <w:rsid w:val="000377BB"/>
    <w:rsid w:val="00040B27"/>
    <w:rsid w:val="00047352"/>
    <w:rsid w:val="000A6DCB"/>
    <w:rsid w:val="000B134D"/>
    <w:rsid w:val="000C4FF1"/>
    <w:rsid w:val="000C64A3"/>
    <w:rsid w:val="001153BB"/>
    <w:rsid w:val="0015320C"/>
    <w:rsid w:val="00154213"/>
    <w:rsid w:val="00156A85"/>
    <w:rsid w:val="001A14AE"/>
    <w:rsid w:val="001A2813"/>
    <w:rsid w:val="001B379D"/>
    <w:rsid w:val="0020363A"/>
    <w:rsid w:val="00235393"/>
    <w:rsid w:val="00284B7D"/>
    <w:rsid w:val="002C1F4E"/>
    <w:rsid w:val="002C74E6"/>
    <w:rsid w:val="002C7F46"/>
    <w:rsid w:val="002D0C79"/>
    <w:rsid w:val="002D551A"/>
    <w:rsid w:val="0035615E"/>
    <w:rsid w:val="00362567"/>
    <w:rsid w:val="00362F3C"/>
    <w:rsid w:val="00366FFE"/>
    <w:rsid w:val="00376184"/>
    <w:rsid w:val="00397E8A"/>
    <w:rsid w:val="003D6F64"/>
    <w:rsid w:val="003E3D2E"/>
    <w:rsid w:val="00412786"/>
    <w:rsid w:val="00445A7D"/>
    <w:rsid w:val="0046170D"/>
    <w:rsid w:val="00481754"/>
    <w:rsid w:val="004C69D2"/>
    <w:rsid w:val="004C756B"/>
    <w:rsid w:val="004F64A1"/>
    <w:rsid w:val="00504B5D"/>
    <w:rsid w:val="00512621"/>
    <w:rsid w:val="00521B80"/>
    <w:rsid w:val="00540AED"/>
    <w:rsid w:val="005522AD"/>
    <w:rsid w:val="00556D0B"/>
    <w:rsid w:val="005723E5"/>
    <w:rsid w:val="00591B47"/>
    <w:rsid w:val="005D6E6E"/>
    <w:rsid w:val="0065003F"/>
    <w:rsid w:val="0069194F"/>
    <w:rsid w:val="006A0FE3"/>
    <w:rsid w:val="006C57BF"/>
    <w:rsid w:val="006C7226"/>
    <w:rsid w:val="007253E2"/>
    <w:rsid w:val="00727C91"/>
    <w:rsid w:val="007522F6"/>
    <w:rsid w:val="00790286"/>
    <w:rsid w:val="007A4E23"/>
    <w:rsid w:val="007F3CE0"/>
    <w:rsid w:val="0081208D"/>
    <w:rsid w:val="00872887"/>
    <w:rsid w:val="00881B07"/>
    <w:rsid w:val="008E15EC"/>
    <w:rsid w:val="00910679"/>
    <w:rsid w:val="009123DA"/>
    <w:rsid w:val="0093333A"/>
    <w:rsid w:val="00937C68"/>
    <w:rsid w:val="009917AC"/>
    <w:rsid w:val="009C6B7F"/>
    <w:rsid w:val="00A44258"/>
    <w:rsid w:val="00A71C7B"/>
    <w:rsid w:val="00A86DCB"/>
    <w:rsid w:val="00AB0BBE"/>
    <w:rsid w:val="00AB6F6D"/>
    <w:rsid w:val="00B00DC5"/>
    <w:rsid w:val="00B05918"/>
    <w:rsid w:val="00B23AE1"/>
    <w:rsid w:val="00B55A01"/>
    <w:rsid w:val="00B60BBF"/>
    <w:rsid w:val="00B6209B"/>
    <w:rsid w:val="00B86CC5"/>
    <w:rsid w:val="00BB05FF"/>
    <w:rsid w:val="00BD06AF"/>
    <w:rsid w:val="00BD5503"/>
    <w:rsid w:val="00BE6FDA"/>
    <w:rsid w:val="00C0626F"/>
    <w:rsid w:val="00C06B7F"/>
    <w:rsid w:val="00C11C61"/>
    <w:rsid w:val="00C65136"/>
    <w:rsid w:val="00D27A09"/>
    <w:rsid w:val="00D4486D"/>
    <w:rsid w:val="00D829A8"/>
    <w:rsid w:val="00D956E1"/>
    <w:rsid w:val="00DD2C69"/>
    <w:rsid w:val="00DD2DE2"/>
    <w:rsid w:val="00DE0F75"/>
    <w:rsid w:val="00DE626A"/>
    <w:rsid w:val="00DF0935"/>
    <w:rsid w:val="00E12362"/>
    <w:rsid w:val="00E23901"/>
    <w:rsid w:val="00E70366"/>
    <w:rsid w:val="00E775B2"/>
    <w:rsid w:val="00E811A2"/>
    <w:rsid w:val="00E879F9"/>
    <w:rsid w:val="00EA5568"/>
    <w:rsid w:val="00EB171D"/>
    <w:rsid w:val="00EE3D08"/>
    <w:rsid w:val="00EF1B29"/>
    <w:rsid w:val="00F1313B"/>
    <w:rsid w:val="00F41447"/>
    <w:rsid w:val="00F47BAD"/>
    <w:rsid w:val="00FF62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341502A"/>
  <w15:docId w15:val="{FE0678E6-2533-481D-815C-94EDA0982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incho"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spacing w:line="360" w:lineRule="atLeast"/>
      <w:jc w:val="both"/>
      <w:textAlignment w:val="baseline"/>
    </w:pPr>
    <w:rPr>
      <w:rFonts w:ascii="ＭＳ 明朝" w:eastAsia="ＭＳ 明朝"/>
      <w:sz w:val="22"/>
    </w:rPr>
  </w:style>
  <w:style w:type="paragraph" w:styleId="1">
    <w:name w:val="heading 1"/>
    <w:basedOn w:val="a"/>
    <w:next w:val="a"/>
    <w:link w:val="10"/>
    <w:uiPriority w:val="9"/>
    <w:qFormat/>
    <w:rsid w:val="00BE6FDA"/>
    <w:pPr>
      <w:keepNext/>
      <w:outlineLvl w:val="0"/>
    </w:pPr>
    <w:rPr>
      <w:rFonts w:asciiTheme="majorHAnsi" w:eastAsiaTheme="majorEastAsia" w:hAnsiTheme="majorHAnsi" w:cstheme="majorBidi"/>
      <w:sz w:val="24"/>
      <w:szCs w:val="24"/>
    </w:rPr>
  </w:style>
  <w:style w:type="paragraph" w:styleId="2">
    <w:name w:val="heading 2"/>
    <w:basedOn w:val="a"/>
    <w:next w:val="a"/>
    <w:qFormat/>
    <w:pPr>
      <w:keepNext/>
      <w:adjustRightInd/>
      <w:spacing w:line="240" w:lineRule="auto"/>
      <w:textAlignment w:val="auto"/>
      <w:outlineLvl w:val="1"/>
    </w:pPr>
    <w:rPr>
      <w:rFonts w:ascii="Arial" w:eastAsia="ＭＳ ゴシック" w:hAnsi="Arial"/>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semiHidden/>
    <w:pPr>
      <w:numPr>
        <w:ilvl w:val="12"/>
      </w:numPr>
      <w:ind w:left="650" w:right="639" w:firstLine="36"/>
      <w:jc w:val="left"/>
    </w:pPr>
  </w:style>
  <w:style w:type="paragraph" w:styleId="a4">
    <w:name w:val="Body Text"/>
    <w:basedOn w:val="a"/>
    <w:semiHidden/>
    <w:rPr>
      <w:rFonts w:ascii="ＭＳ ゴシック" w:eastAsia="ＭＳ ゴシック" w:hAnsi="ＭＳ ゴシック"/>
      <w:spacing w:val="2"/>
      <w:sz w:val="20"/>
    </w:rPr>
  </w:style>
  <w:style w:type="paragraph" w:styleId="20">
    <w:name w:val="Body Text Indent 2"/>
    <w:basedOn w:val="a"/>
    <w:semiHidden/>
    <w:pPr>
      <w:autoSpaceDE w:val="0"/>
      <w:autoSpaceDN w:val="0"/>
      <w:spacing w:line="240" w:lineRule="auto"/>
      <w:ind w:left="993" w:hanging="993"/>
      <w:jc w:val="left"/>
      <w:textAlignment w:val="auto"/>
    </w:pPr>
    <w:rPr>
      <w:rFonts w:hAnsi="Times New Roman"/>
      <w:color w:val="000000"/>
      <w:sz w:val="21"/>
    </w:rPr>
  </w:style>
  <w:style w:type="paragraph" w:styleId="3">
    <w:name w:val="Body Text Indent 3"/>
    <w:basedOn w:val="a"/>
    <w:semiHidden/>
    <w:pPr>
      <w:autoSpaceDE w:val="0"/>
      <w:autoSpaceDN w:val="0"/>
      <w:spacing w:line="240" w:lineRule="auto"/>
      <w:ind w:left="1843" w:hanging="1843"/>
      <w:jc w:val="left"/>
      <w:textAlignment w:val="auto"/>
    </w:pPr>
    <w:rPr>
      <w:rFonts w:hAnsi="Times New Roman"/>
      <w:color w:val="000000"/>
      <w:sz w:val="21"/>
    </w:rPr>
  </w:style>
  <w:style w:type="paragraph" w:styleId="a5">
    <w:name w:val="Body Text Indent"/>
    <w:basedOn w:val="a"/>
    <w:semiHidden/>
    <w:pPr>
      <w:ind w:left="360" w:firstLineChars="81" w:firstLine="178"/>
    </w:pPr>
    <w:rPr>
      <w:rFonts w:ascii="ＭＳ ゴシック" w:eastAsia="ＭＳ ゴシック" w:hAnsi="ＭＳ ゴシック"/>
      <w:color w:val="000000"/>
    </w:rPr>
  </w:style>
  <w:style w:type="paragraph" w:styleId="a6">
    <w:name w:val="footer"/>
    <w:basedOn w:val="a"/>
    <w:semiHidden/>
    <w:pPr>
      <w:tabs>
        <w:tab w:val="center" w:pos="4252"/>
        <w:tab w:val="right" w:pos="8504"/>
      </w:tabs>
      <w:adjustRightInd/>
      <w:snapToGrid w:val="0"/>
      <w:spacing w:line="240" w:lineRule="auto"/>
      <w:textAlignment w:val="auto"/>
    </w:pPr>
    <w:rPr>
      <w:kern w:val="2"/>
      <w:szCs w:val="24"/>
    </w:rPr>
  </w:style>
  <w:style w:type="character" w:styleId="a7">
    <w:name w:val="page number"/>
    <w:basedOn w:val="a0"/>
    <w:semiHidden/>
  </w:style>
  <w:style w:type="paragraph" w:styleId="a8">
    <w:name w:val="header"/>
    <w:basedOn w:val="a"/>
    <w:semiHidden/>
    <w:pPr>
      <w:tabs>
        <w:tab w:val="center" w:pos="4252"/>
        <w:tab w:val="right" w:pos="8504"/>
      </w:tabs>
      <w:snapToGrid w:val="0"/>
    </w:pPr>
  </w:style>
  <w:style w:type="paragraph" w:styleId="a9">
    <w:name w:val="Balloon Text"/>
    <w:basedOn w:val="a"/>
    <w:link w:val="aa"/>
    <w:uiPriority w:val="99"/>
    <w:semiHidden/>
    <w:unhideWhenUsed/>
    <w:rsid w:val="003D6F64"/>
    <w:pPr>
      <w:spacing w:line="240" w:lineRule="auto"/>
    </w:pPr>
    <w:rPr>
      <w:rFonts w:ascii="Arial" w:eastAsia="ＭＳ ゴシック" w:hAnsi="Arial"/>
      <w:sz w:val="18"/>
      <w:szCs w:val="18"/>
      <w:lang w:val="x-none" w:eastAsia="x-none"/>
    </w:rPr>
  </w:style>
  <w:style w:type="character" w:customStyle="1" w:styleId="aa">
    <w:name w:val="吹き出し (文字)"/>
    <w:link w:val="a9"/>
    <w:uiPriority w:val="99"/>
    <w:semiHidden/>
    <w:rsid w:val="003D6F64"/>
    <w:rPr>
      <w:rFonts w:ascii="Arial" w:eastAsia="ＭＳ ゴシック" w:hAnsi="Arial" w:cs="Times New Roman"/>
      <w:sz w:val="18"/>
      <w:szCs w:val="18"/>
    </w:rPr>
  </w:style>
  <w:style w:type="paragraph" w:customStyle="1" w:styleId="ab">
    <w:name w:val="小改行"/>
    <w:basedOn w:val="a"/>
    <w:rsid w:val="00D4486D"/>
    <w:pPr>
      <w:autoSpaceDE w:val="0"/>
      <w:autoSpaceDN w:val="0"/>
      <w:spacing w:line="140" w:lineRule="exact"/>
    </w:pPr>
    <w:rPr>
      <w:rFonts w:ascii="ＭＳ Ｐ明朝" w:eastAsia="ＭＳ Ｐ明朝" w:hAnsi="ＭＳ 明朝"/>
      <w:spacing w:val="5"/>
      <w:sz w:val="21"/>
      <w:szCs w:val="21"/>
    </w:rPr>
  </w:style>
  <w:style w:type="paragraph" w:styleId="ac">
    <w:name w:val="caption"/>
    <w:basedOn w:val="1"/>
    <w:next w:val="a"/>
    <w:unhideWhenUsed/>
    <w:qFormat/>
    <w:rsid w:val="00BE6FDA"/>
    <w:pPr>
      <w:keepNext w:val="0"/>
      <w:widowControl/>
      <w:autoSpaceDE w:val="0"/>
      <w:autoSpaceDN w:val="0"/>
      <w:spacing w:afterLines="50" w:after="50" w:line="240" w:lineRule="auto"/>
      <w:jc w:val="center"/>
    </w:pPr>
    <w:rPr>
      <w:rFonts w:ascii="ＭＳ Ｐゴシック" w:eastAsia="ＭＳ Ｐゴシック" w:hAnsi="ＭＳ Ｐゴシック" w:cs="Times New Roman"/>
      <w:bCs/>
      <w:snapToGrid w:val="0"/>
      <w:spacing w:val="5"/>
      <w:sz w:val="21"/>
      <w:szCs w:val="21"/>
    </w:rPr>
  </w:style>
  <w:style w:type="character" w:customStyle="1" w:styleId="10">
    <w:name w:val="見出し 1 (文字)"/>
    <w:basedOn w:val="a0"/>
    <w:link w:val="1"/>
    <w:uiPriority w:val="9"/>
    <w:rsid w:val="00BE6FDA"/>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346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4</Pages>
  <Words>324</Words>
  <Characters>1853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(株)中央設計技術研究所</Company>
  <LinksUpToDate>false</LinksUpToDate>
  <CharactersWithSpaces>2173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加須屋 大地</dc:creator>
  <cp:lastModifiedBy>前田 悠太</cp:lastModifiedBy>
  <cp:revision>7</cp:revision>
  <cp:lastPrinted>2025-02-17T04:13:00Z</cp:lastPrinted>
  <dcterms:created xsi:type="dcterms:W3CDTF">2025-02-13T12:27:00Z</dcterms:created>
  <dcterms:modified xsi:type="dcterms:W3CDTF">2026-02-06T06:47:00Z</dcterms:modified>
</cp:coreProperties>
</file>